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480" w:lineRule="auto"/>
        <w:rPr>
          <w:rFonts w:hint="eastAsia" w:ascii="楷体_GB2312" w:hAnsi="楷体_GB2312"/>
          <w:color w:val="000000"/>
          <w:sz w:val="36"/>
          <w:szCs w:val="36"/>
        </w:rPr>
      </w:pPr>
    </w:p>
    <w:p>
      <w:pPr>
        <w:widowControl/>
        <w:jc w:val="center"/>
        <w:rPr>
          <w:rFonts w:ascii="黑体" w:eastAsia="黑体"/>
          <w:bCs/>
          <w:sz w:val="36"/>
          <w:szCs w:val="36"/>
        </w:rPr>
      </w:pPr>
      <w:r>
        <w:rPr>
          <w:rFonts w:hint="eastAsia" w:ascii="黑体" w:eastAsia="黑体"/>
          <w:bCs/>
          <w:sz w:val="36"/>
          <w:szCs w:val="36"/>
        </w:rPr>
        <w:t>关于对高等学校质量工程项目检查验收的通知</w:t>
      </w:r>
    </w:p>
    <w:p>
      <w:pPr>
        <w:widowControl/>
        <w:jc w:val="right"/>
        <w:rPr>
          <w:rFonts w:ascii="黑体" w:eastAsia="黑体"/>
          <w:bCs/>
          <w:sz w:val="36"/>
          <w:szCs w:val="36"/>
        </w:rPr>
      </w:pPr>
      <w:r>
        <w:rPr>
          <w:rStyle w:val="9"/>
          <w:rFonts w:hint="eastAsia" w:eastAsia="楷体_GB2312"/>
          <w:sz w:val="32"/>
          <w:szCs w:val="32"/>
        </w:rPr>
        <w:t>科字</w:t>
      </w:r>
      <w:r>
        <w:rPr>
          <w:rFonts w:ascii="楷体_GB2312" w:eastAsia="楷体_GB2312"/>
          <w:b/>
          <w:sz w:val="32"/>
          <w:szCs w:val="32"/>
        </w:rPr>
        <w:t>〔</w:t>
      </w:r>
      <w:r>
        <w:rPr>
          <w:rFonts w:hint="eastAsia" w:ascii="楷体_GB2312" w:eastAsia="楷体_GB2312"/>
          <w:b/>
          <w:sz w:val="32"/>
          <w:szCs w:val="32"/>
        </w:rPr>
        <w:t>2020</w:t>
      </w:r>
      <w:r>
        <w:rPr>
          <w:rFonts w:ascii="楷体_GB2312" w:eastAsia="楷体_GB2312"/>
          <w:b/>
          <w:sz w:val="32"/>
          <w:szCs w:val="32"/>
        </w:rPr>
        <w:t>〕</w:t>
      </w:r>
      <w:r>
        <w:rPr>
          <w:rFonts w:hint="eastAsia" w:ascii="楷体_GB2312" w:eastAsia="楷体_GB2312"/>
          <w:b/>
          <w:sz w:val="32"/>
          <w:szCs w:val="32"/>
        </w:rPr>
        <w:t xml:space="preserve"> </w:t>
      </w:r>
      <w:r>
        <w:rPr>
          <w:rStyle w:val="9"/>
          <w:rFonts w:hint="eastAsia" w:eastAsia="楷体_GB2312"/>
          <w:sz w:val="32"/>
          <w:szCs w:val="32"/>
        </w:rPr>
        <w:t>1号</w:t>
      </w:r>
    </w:p>
    <w:p>
      <w:pPr>
        <w:widowControl/>
        <w:jc w:val="center"/>
        <w:rPr>
          <w:rFonts w:ascii="黑体" w:eastAsia="黑体"/>
          <w:bCs/>
          <w:sz w:val="36"/>
          <w:szCs w:val="36"/>
        </w:rPr>
      </w:pPr>
    </w:p>
    <w:p>
      <w:pPr>
        <w:widowControl/>
        <w:spacing w:line="580" w:lineRule="exact"/>
        <w:jc w:val="left"/>
        <w:rPr>
          <w:rFonts w:hint="eastAsia" w:ascii="楷体_GB2312" w:hAnsi="楷体_GB2312"/>
          <w:color w:val="000000"/>
          <w:sz w:val="36"/>
          <w:szCs w:val="36"/>
        </w:rPr>
      </w:pPr>
      <w:r>
        <w:rPr>
          <w:rFonts w:hint="eastAsia" w:ascii="楷体_GB2312" w:eastAsia="楷体_GB2312"/>
          <w:b/>
          <w:kern w:val="0"/>
          <w:sz w:val="32"/>
          <w:szCs w:val="32"/>
        </w:rPr>
        <w:t>各系（部）、处室：</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为加强省级质量工程项目管理，提高其经费使用效益，根据省教育厅、省财政厅印发的《安徽省高等学校省级教学质量与教学改革工程项目管理暂行办法》（教高〔2008〕5号）和《安徽省教育厅关于对高等学校质量工程项目进行年度检查验收的通知》（皖教秘高〔2020〕33号）等文件要求，成立学院质量工程项目年度检查验收领导组（学院领导）和校外专家组，对2019年12月底前到期的国家级、省级质量工程项目以及教育部未认定的高等职业教育创新发展行动计划项目进行年度检查验收。具体事项通知如下：</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bCs/>
          <w:kern w:val="0"/>
          <w:sz w:val="32"/>
          <w:szCs w:val="32"/>
        </w:rPr>
        <w:t>一、</w:t>
      </w:r>
      <w:r>
        <w:rPr>
          <w:rFonts w:hint="eastAsia" w:ascii="仿宋_GB2312" w:eastAsia="仿宋_GB2312"/>
          <w:b/>
          <w:kern w:val="0"/>
          <w:sz w:val="32"/>
          <w:szCs w:val="32"/>
        </w:rPr>
        <w:t>检查验收范围</w:t>
      </w:r>
    </w:p>
    <w:p>
      <w:pPr>
        <w:widowControl/>
        <w:spacing w:line="580" w:lineRule="exact"/>
        <w:ind w:firstLine="643" w:firstLineChars="200"/>
        <w:jc w:val="left"/>
        <w:rPr>
          <w:rFonts w:ascii="仿宋_GB2312" w:eastAsia="仿宋_GB2312"/>
          <w:kern w:val="0"/>
          <w:sz w:val="32"/>
          <w:szCs w:val="32"/>
        </w:rPr>
      </w:pPr>
      <w:r>
        <w:rPr>
          <w:rFonts w:hint="eastAsia" w:ascii="仿宋_GB2312" w:eastAsia="仿宋_GB2312"/>
          <w:b/>
          <w:kern w:val="0"/>
          <w:sz w:val="32"/>
          <w:szCs w:val="32"/>
        </w:rPr>
        <w:t>2013年以来立项且未结题的省级质量工程项目（见附件1、附件2）</w:t>
      </w:r>
      <w:r>
        <w:rPr>
          <w:rFonts w:hint="eastAsia" w:ascii="仿宋_GB2312" w:eastAsia="仿宋_GB2312"/>
          <w:kern w:val="0"/>
          <w:sz w:val="32"/>
          <w:szCs w:val="32"/>
        </w:rPr>
        <w:t>分为课程建设类和非课程建设类两个模块。其中</w:t>
      </w:r>
      <w:r>
        <w:rPr>
          <w:rFonts w:hint="eastAsia" w:ascii="仿宋_GB2312" w:eastAsia="仿宋_GB2312"/>
          <w:b/>
          <w:kern w:val="0"/>
          <w:sz w:val="32"/>
          <w:szCs w:val="32"/>
        </w:rPr>
        <w:t>课程建设类项目</w:t>
      </w:r>
      <w:r>
        <w:rPr>
          <w:rFonts w:hint="eastAsia" w:ascii="仿宋_GB2312" w:eastAsia="仿宋_GB2312"/>
          <w:kern w:val="0"/>
          <w:sz w:val="32"/>
          <w:szCs w:val="32"/>
        </w:rPr>
        <w:t>包括大规模在线开放课程（MOOC）、精品资源共享课程、精品视频公开课、精品开放课程、智慧课堂试点、精品线下开放课程、虚拟仿真实验教学项目等，均委托</w:t>
      </w:r>
      <w:r>
        <w:rPr>
          <w:rFonts w:hint="eastAsia" w:ascii="仿宋_GB2312" w:eastAsia="仿宋_GB2312"/>
          <w:b/>
          <w:kern w:val="0"/>
          <w:sz w:val="32"/>
          <w:szCs w:val="32"/>
        </w:rPr>
        <w:t>中国科大数字图书馆专门组织检查验收</w:t>
      </w:r>
      <w:r>
        <w:rPr>
          <w:rFonts w:hint="eastAsia" w:ascii="仿宋_GB2312" w:eastAsia="仿宋_GB2312"/>
          <w:kern w:val="0"/>
          <w:sz w:val="32"/>
          <w:szCs w:val="32"/>
        </w:rPr>
        <w:t>。</w:t>
      </w:r>
    </w:p>
    <w:p>
      <w:pPr>
        <w:widowControl/>
        <w:spacing w:line="580" w:lineRule="exact"/>
        <w:ind w:firstLine="643" w:firstLineChars="200"/>
        <w:jc w:val="left"/>
        <w:rPr>
          <w:rFonts w:ascii="仿宋_GB2312" w:eastAsia="仿宋_GB2312"/>
          <w:kern w:val="0"/>
          <w:sz w:val="32"/>
          <w:szCs w:val="32"/>
        </w:rPr>
      </w:pPr>
      <w:r>
        <w:rPr>
          <w:rFonts w:hint="eastAsia" w:ascii="仿宋_GB2312" w:eastAsia="仿宋_GB2312"/>
          <w:b/>
          <w:kern w:val="0"/>
          <w:sz w:val="32"/>
          <w:szCs w:val="32"/>
        </w:rPr>
        <w:t>非课程建设类</w:t>
      </w:r>
      <w:r>
        <w:rPr>
          <w:rFonts w:hint="eastAsia" w:ascii="仿宋_GB2312" w:eastAsia="仿宋_GB2312"/>
          <w:kern w:val="0"/>
          <w:sz w:val="32"/>
          <w:szCs w:val="32"/>
        </w:rPr>
        <w:t>包括地方高水平大学建设计划、专业结构优化调整与专业改造、专业综合改革试点、教学团队、校企合作实践教育基地、校企合作示范实训中心、示范实验实训中心、高水平高职专业、高水平高职教材建设、高校合作联盟建设和分类管理改革试点、规划教材、基层教研室示范项目、技术技能型大师工作室、教学成果推广项目、教学研究项目、教育教学改革委托项目、数字图书馆、思想政治理论课教研项目、大学生创新创业训练计划和自主设置项目等。</w:t>
      </w:r>
    </w:p>
    <w:p>
      <w:pPr>
        <w:widowControl/>
        <w:spacing w:line="580" w:lineRule="exact"/>
        <w:ind w:firstLine="643" w:firstLineChars="200"/>
        <w:jc w:val="left"/>
        <w:rPr>
          <w:rFonts w:ascii="仿宋_GB2312" w:eastAsia="仿宋_GB2312"/>
          <w:kern w:val="0"/>
          <w:sz w:val="32"/>
          <w:szCs w:val="32"/>
        </w:rPr>
      </w:pPr>
      <w:r>
        <w:rPr>
          <w:rFonts w:hint="eastAsia" w:ascii="仿宋_GB2312" w:eastAsia="仿宋_GB2312"/>
          <w:b/>
          <w:kern w:val="0"/>
          <w:sz w:val="32"/>
          <w:szCs w:val="32"/>
        </w:rPr>
        <w:t>教育部未认定的高等职业教育创新发展行动计划</w:t>
      </w:r>
      <w:r>
        <w:rPr>
          <w:rFonts w:hint="eastAsia" w:ascii="仿宋_GB2312" w:eastAsia="仿宋_GB2312"/>
          <w:kern w:val="0"/>
          <w:sz w:val="32"/>
          <w:szCs w:val="32"/>
        </w:rPr>
        <w:t>（2015—2018年）</w:t>
      </w:r>
      <w:r>
        <w:rPr>
          <w:rFonts w:hint="eastAsia" w:ascii="仿宋_GB2312" w:eastAsia="仿宋_GB2312"/>
          <w:b/>
          <w:kern w:val="0"/>
          <w:sz w:val="32"/>
          <w:szCs w:val="32"/>
        </w:rPr>
        <w:t>项目（见附件3）</w:t>
      </w:r>
      <w:r>
        <w:rPr>
          <w:rFonts w:hint="eastAsia" w:ascii="仿宋_GB2312" w:eastAsia="仿宋_GB2312"/>
          <w:kern w:val="0"/>
          <w:sz w:val="32"/>
          <w:szCs w:val="32"/>
        </w:rPr>
        <w:t>纳入此次检查验收范围。</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二、检查验收内容</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本次检查项目分为</w:t>
      </w:r>
      <w:r>
        <w:rPr>
          <w:rFonts w:hint="eastAsia" w:ascii="仿宋_GB2312" w:eastAsia="仿宋_GB2312"/>
          <w:b/>
          <w:kern w:val="0"/>
          <w:sz w:val="32"/>
          <w:szCs w:val="32"/>
        </w:rPr>
        <w:t>阶段检查和结题验收</w:t>
      </w:r>
      <w:r>
        <w:rPr>
          <w:rFonts w:hint="eastAsia" w:ascii="仿宋_GB2312" w:eastAsia="仿宋_GB2312"/>
          <w:kern w:val="0"/>
          <w:sz w:val="32"/>
          <w:szCs w:val="32"/>
        </w:rPr>
        <w:t>两大类。对所有到期项目实施结题验收，其它未到期项目开展阶段检查。</w:t>
      </w:r>
      <w:r>
        <w:rPr>
          <w:rFonts w:hint="eastAsia" w:ascii="仿宋_GB2312" w:eastAsia="仿宋_GB2312"/>
          <w:b/>
          <w:kern w:val="0"/>
          <w:sz w:val="32"/>
          <w:szCs w:val="32"/>
        </w:rPr>
        <w:t>对教育部未认定的创新发展行动计划项目</w:t>
      </w:r>
      <w:r>
        <w:rPr>
          <w:rFonts w:hint="eastAsia" w:ascii="仿宋_GB2312" w:eastAsia="仿宋_GB2312"/>
          <w:kern w:val="0"/>
          <w:sz w:val="32"/>
          <w:szCs w:val="32"/>
        </w:rPr>
        <w:t>，</w:t>
      </w:r>
      <w:r>
        <w:rPr>
          <w:rFonts w:hint="eastAsia" w:ascii="仿宋_GB2312" w:eastAsia="仿宋_GB2312"/>
          <w:b/>
          <w:kern w:val="0"/>
          <w:sz w:val="32"/>
          <w:szCs w:val="32"/>
        </w:rPr>
        <w:t>实行结题验收</w:t>
      </w:r>
      <w:r>
        <w:rPr>
          <w:rFonts w:hint="eastAsia" w:ascii="仿宋_GB2312" w:eastAsia="仿宋_GB2312"/>
          <w:kern w:val="0"/>
          <w:sz w:val="32"/>
          <w:szCs w:val="32"/>
        </w:rPr>
        <w:t>，项目负责人需于</w:t>
      </w:r>
      <w:r>
        <w:rPr>
          <w:rFonts w:hint="eastAsia" w:ascii="仿宋_GB2312" w:eastAsia="仿宋_GB2312"/>
          <w:b/>
          <w:kern w:val="0"/>
          <w:sz w:val="32"/>
          <w:szCs w:val="32"/>
        </w:rPr>
        <w:t>3月30日前</w:t>
      </w:r>
      <w:r>
        <w:rPr>
          <w:rFonts w:hint="eastAsia" w:ascii="仿宋_GB2312" w:eastAsia="仿宋_GB2312"/>
          <w:kern w:val="0"/>
          <w:sz w:val="32"/>
          <w:szCs w:val="32"/>
        </w:rPr>
        <w:t>，在省级质量工程系统“创新发展行动计划项目”对应项目类型提交项目建设方案、申报书、任务书。</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省级质量工程项目</w:t>
      </w:r>
      <w:r>
        <w:rPr>
          <w:rFonts w:ascii="仿宋_GB2312" w:eastAsia="仿宋_GB2312"/>
          <w:kern w:val="0"/>
          <w:sz w:val="32"/>
          <w:szCs w:val="32"/>
        </w:rPr>
        <w:t>由教育厅委托高校负责检查验收。检查验收内容主要包括：</w:t>
      </w:r>
      <w:r>
        <w:rPr>
          <w:rFonts w:hint="eastAsia" w:ascii="仿宋_GB2312" w:eastAsia="仿宋_GB2312"/>
          <w:kern w:val="0"/>
          <w:sz w:val="32"/>
          <w:szCs w:val="32"/>
        </w:rPr>
        <w:t>（1）</w:t>
      </w:r>
      <w:r>
        <w:rPr>
          <w:rFonts w:ascii="仿宋_GB2312" w:eastAsia="仿宋_GB2312"/>
          <w:kern w:val="0"/>
          <w:sz w:val="32"/>
          <w:szCs w:val="32"/>
        </w:rPr>
        <w:t>围绕建设目标，项目的执行情况，采取的主要措施</w:t>
      </w:r>
      <w:r>
        <w:rPr>
          <w:rFonts w:hint="eastAsia" w:ascii="仿宋_GB2312" w:eastAsia="仿宋_GB2312"/>
          <w:kern w:val="0"/>
          <w:sz w:val="32"/>
          <w:szCs w:val="32"/>
        </w:rPr>
        <w:t>；（2）</w:t>
      </w:r>
      <w:r>
        <w:rPr>
          <w:rFonts w:ascii="仿宋_GB2312" w:eastAsia="仿宋_GB2312"/>
          <w:kern w:val="0"/>
          <w:sz w:val="32"/>
          <w:szCs w:val="32"/>
        </w:rPr>
        <w:t>项目建设进展，建设过程中开展的主要活动和创新特色做法</w:t>
      </w:r>
      <w:r>
        <w:rPr>
          <w:rFonts w:hint="eastAsia" w:ascii="仿宋_GB2312" w:eastAsia="仿宋_GB2312"/>
          <w:kern w:val="0"/>
          <w:sz w:val="32"/>
          <w:szCs w:val="32"/>
        </w:rPr>
        <w:t>；（3）</w:t>
      </w:r>
      <w:r>
        <w:rPr>
          <w:rFonts w:ascii="仿宋_GB2312" w:eastAsia="仿宋_GB2312"/>
          <w:kern w:val="0"/>
          <w:sz w:val="32"/>
          <w:szCs w:val="32"/>
        </w:rPr>
        <w:t>项目建设取得的标志性成果、经验、成效及示范带动作用</w:t>
      </w:r>
      <w:r>
        <w:rPr>
          <w:rFonts w:hint="eastAsia" w:ascii="仿宋_GB2312" w:eastAsia="仿宋_GB2312"/>
          <w:kern w:val="0"/>
          <w:sz w:val="32"/>
          <w:szCs w:val="32"/>
        </w:rPr>
        <w:t>；（4）</w:t>
      </w:r>
      <w:r>
        <w:rPr>
          <w:rFonts w:ascii="仿宋_GB2312" w:eastAsia="仿宋_GB2312"/>
          <w:kern w:val="0"/>
          <w:sz w:val="32"/>
          <w:szCs w:val="32"/>
        </w:rPr>
        <w:t>项目建设存在的问题、原因、建议与对策</w:t>
      </w:r>
      <w:r>
        <w:rPr>
          <w:rFonts w:hint="eastAsia" w:ascii="仿宋_GB2312" w:eastAsia="仿宋_GB2312"/>
          <w:kern w:val="0"/>
          <w:sz w:val="32"/>
          <w:szCs w:val="32"/>
        </w:rPr>
        <w:t>；（5）</w:t>
      </w:r>
      <w:r>
        <w:rPr>
          <w:rFonts w:ascii="仿宋_GB2312" w:eastAsia="仿宋_GB2312"/>
          <w:kern w:val="0"/>
          <w:sz w:val="32"/>
          <w:szCs w:val="32"/>
        </w:rPr>
        <w:t>项目经费的落实、配套与使用情况。</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创新发展行动计划项目和大学生创新创业训练计划项目由学校统一检查验收后，在“高校项目整体执行情况报告”中单独列块进行总结。</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在学校自查的基础上，省教育厅将依托质量工程管理信息平台，委托安徽省高等学校质量工程建设办公室组织专家通过网络函审方式对重大教学改革研究项目和部分集体项目进行省级结题验收。</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三、检查验收方式与时间</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1、项目负责人</w:t>
      </w:r>
      <w:r>
        <w:rPr>
          <w:rFonts w:hint="eastAsia" w:ascii="仿宋_GB2312" w:eastAsia="仿宋_GB2312"/>
          <w:b/>
          <w:kern w:val="0"/>
          <w:sz w:val="32"/>
          <w:szCs w:val="32"/>
        </w:rPr>
        <w:t>对照项目申报指南建设指标或验收标准认真填写各项目进展报告或结题报告书</w:t>
      </w:r>
      <w:r>
        <w:rPr>
          <w:rFonts w:hint="eastAsia" w:ascii="仿宋_GB2312" w:eastAsia="仿宋_GB2312"/>
          <w:kern w:val="0"/>
          <w:sz w:val="32"/>
          <w:szCs w:val="32"/>
        </w:rPr>
        <w:t>，真实反映项目研究成果。所有项目检查验收应以任务书作为项目执行、过程检查和验收的主要依据。报告中的数据务求准确无误，典型事例务必真实具体，文字材料尽量言简意赅。</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2、项目负责人</w:t>
      </w:r>
      <w:r>
        <w:rPr>
          <w:rFonts w:hint="eastAsia" w:ascii="仿宋_GB2312" w:eastAsia="仿宋_GB2312"/>
          <w:b/>
          <w:kern w:val="0"/>
          <w:sz w:val="32"/>
          <w:szCs w:val="32"/>
        </w:rPr>
        <w:t>3月26日前</w:t>
      </w:r>
      <w:r>
        <w:rPr>
          <w:rFonts w:hint="eastAsia" w:ascii="仿宋_GB2312" w:eastAsia="仿宋_GB2312"/>
          <w:kern w:val="0"/>
          <w:sz w:val="32"/>
          <w:szCs w:val="32"/>
        </w:rPr>
        <w:t>向学校科研办提交</w:t>
      </w:r>
      <w:r>
        <w:rPr>
          <w:rFonts w:hint="eastAsia" w:ascii="仿宋_GB2312" w:eastAsia="仿宋_GB2312"/>
          <w:b/>
          <w:kern w:val="0"/>
          <w:sz w:val="32"/>
          <w:szCs w:val="32"/>
        </w:rPr>
        <w:t>省级质量工程项目</w:t>
      </w:r>
      <w:r>
        <w:rPr>
          <w:rFonts w:hint="eastAsia" w:ascii="仿宋_GB2312" w:eastAsia="仿宋_GB2312"/>
          <w:kern w:val="0"/>
          <w:sz w:val="32"/>
          <w:szCs w:val="32"/>
        </w:rPr>
        <w:t>结题报告、进展报告及其支撑材料电子版（项目结题报告纸质材料提交时间另行通知）。</w:t>
      </w:r>
      <w:r>
        <w:rPr>
          <w:rFonts w:hint="eastAsia" w:ascii="仿宋_GB2312" w:eastAsia="仿宋_GB2312"/>
          <w:b/>
          <w:kern w:val="0"/>
          <w:sz w:val="32"/>
          <w:szCs w:val="32"/>
        </w:rPr>
        <w:t>教育部未认定的高等职业教育创新发展行动计划</w:t>
      </w:r>
      <w:r>
        <w:rPr>
          <w:rFonts w:hint="eastAsia" w:ascii="仿宋_GB2312" w:eastAsia="仿宋_GB2312"/>
          <w:kern w:val="0"/>
          <w:sz w:val="32"/>
          <w:szCs w:val="32"/>
        </w:rPr>
        <w:t>（2015—2018年）项目结题材料。</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3、项目负责人</w:t>
      </w:r>
      <w:r>
        <w:rPr>
          <w:rFonts w:hint="eastAsia" w:ascii="仿宋_GB2312" w:eastAsia="仿宋_GB2312"/>
          <w:b/>
          <w:kern w:val="0"/>
          <w:sz w:val="32"/>
          <w:szCs w:val="32"/>
        </w:rPr>
        <w:t>4月27日前</w:t>
      </w:r>
      <w:r>
        <w:rPr>
          <w:rFonts w:hint="eastAsia" w:ascii="仿宋_GB2312" w:eastAsia="仿宋_GB2312"/>
          <w:kern w:val="0"/>
          <w:sz w:val="32"/>
          <w:szCs w:val="32"/>
        </w:rPr>
        <w:t>登录安徽省教育厅高教处网站（</w:t>
      </w:r>
      <w:r>
        <w:rPr>
          <w:rFonts w:ascii="Times New Roman" w:hAnsi="Times New Roman" w:eastAsia="仿宋_GB2312" w:cs="Times New Roman"/>
          <w:kern w:val="0"/>
          <w:sz w:val="32"/>
          <w:szCs w:val="32"/>
        </w:rPr>
        <w:t>http://jyt.ah.gov.cn/gaojiaochu</w:t>
      </w:r>
      <w:r>
        <w:rPr>
          <w:rFonts w:hint="eastAsia" w:ascii="仿宋_GB2312" w:eastAsia="仿宋_GB2312"/>
          <w:kern w:val="0"/>
          <w:sz w:val="32"/>
          <w:szCs w:val="32"/>
        </w:rPr>
        <w:t>），把项目检查验收材料上传到“安徽省高等学校质量工程项目管理信息系统”（</w:t>
      </w:r>
      <w:r>
        <w:fldChar w:fldCharType="begin"/>
      </w:r>
      <w:r>
        <w:instrText xml:space="preserve"> HYPERLINK "http://202.38.95.115/QRMIS）。4月30" </w:instrText>
      </w:r>
      <w:r>
        <w:fldChar w:fldCharType="separate"/>
      </w:r>
      <w:r>
        <w:rPr>
          <w:rStyle w:val="11"/>
          <w:rFonts w:hint="eastAsia" w:ascii="Times New Roman" w:hAnsi="Times New Roman" w:eastAsia="仿宋_GB2312" w:cs="Times New Roman"/>
          <w:kern w:val="0"/>
          <w:sz w:val="32"/>
          <w:szCs w:val="32"/>
        </w:rPr>
        <w:t>http://202.38.95.115/QRMIS</w:t>
      </w:r>
      <w:r>
        <w:rPr>
          <w:rStyle w:val="11"/>
          <w:rFonts w:hint="eastAsia" w:ascii="仿宋_GB2312" w:eastAsia="仿宋_GB2312"/>
          <w:kern w:val="0"/>
          <w:sz w:val="32"/>
          <w:szCs w:val="32"/>
        </w:rPr>
        <w:t>）。4月30</w:t>
      </w:r>
      <w:r>
        <w:rPr>
          <w:rStyle w:val="11"/>
          <w:rFonts w:hint="eastAsia" w:ascii="仿宋_GB2312" w:eastAsia="仿宋_GB2312"/>
          <w:kern w:val="0"/>
          <w:sz w:val="32"/>
          <w:szCs w:val="32"/>
        </w:rPr>
        <w:fldChar w:fldCharType="end"/>
      </w:r>
      <w:r>
        <w:rPr>
          <w:rFonts w:hint="eastAsia" w:ascii="仿宋_GB2312" w:eastAsia="仿宋_GB2312"/>
          <w:kern w:val="0"/>
          <w:sz w:val="32"/>
          <w:szCs w:val="32"/>
        </w:rPr>
        <w:t>日前科研办负责</w:t>
      </w:r>
      <w:r>
        <w:rPr>
          <w:rFonts w:ascii="仿宋_GB2312" w:eastAsia="仿宋_GB2312"/>
          <w:kern w:val="0"/>
          <w:sz w:val="32"/>
          <w:szCs w:val="32"/>
        </w:rPr>
        <w:t>报送</w:t>
      </w:r>
      <w:r>
        <w:rPr>
          <w:rFonts w:hint="eastAsia" w:ascii="仿宋_GB2312" w:eastAsia="仿宋_GB2312"/>
          <w:kern w:val="0"/>
          <w:sz w:val="32"/>
          <w:szCs w:val="32"/>
        </w:rPr>
        <w:t>学校公文和项目汇总表盖章扫描后上传系统，纸质版材料无需报送。</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4、学院省级质量工程项目检查验收领导组依据当前疫情管控要求，</w:t>
      </w:r>
      <w:r>
        <w:rPr>
          <w:rFonts w:hint="eastAsia" w:ascii="仿宋_GB2312" w:eastAsia="仿宋_GB2312"/>
          <w:b/>
          <w:kern w:val="0"/>
          <w:sz w:val="32"/>
          <w:szCs w:val="32"/>
        </w:rPr>
        <w:t>采取网络验收形式检查验收</w:t>
      </w:r>
      <w:r>
        <w:rPr>
          <w:rFonts w:hint="eastAsia" w:ascii="仿宋_GB2312" w:eastAsia="仿宋_GB2312"/>
          <w:kern w:val="0"/>
          <w:sz w:val="32"/>
          <w:szCs w:val="32"/>
        </w:rPr>
        <w:t>。参加检查验收的项目通过名单及时间，由学校科研部门公示后，学校科研部门向</w:t>
      </w:r>
      <w:r>
        <w:rPr>
          <w:rFonts w:hint="eastAsia" w:ascii="仿宋_GB2312" w:eastAsia="仿宋_GB2312"/>
          <w:b/>
          <w:bCs/>
          <w:kern w:val="0"/>
          <w:sz w:val="32"/>
          <w:szCs w:val="32"/>
        </w:rPr>
        <w:t>教育厅报送检查验收材料，即：</w:t>
      </w:r>
      <w:r>
        <w:rPr>
          <w:rFonts w:hint="eastAsia" w:ascii="仿宋_GB2312" w:eastAsia="仿宋_GB2312"/>
          <w:bCs/>
          <w:kern w:val="0"/>
          <w:sz w:val="32"/>
          <w:szCs w:val="32"/>
        </w:rPr>
        <w:t>（</w:t>
      </w:r>
      <w:r>
        <w:rPr>
          <w:rFonts w:hint="eastAsia" w:ascii="仿宋_GB2312" w:eastAsia="仿宋_GB2312"/>
          <w:kern w:val="0"/>
          <w:sz w:val="32"/>
          <w:szCs w:val="32"/>
        </w:rPr>
        <w:t>1</w:t>
      </w:r>
      <w:r>
        <w:rPr>
          <w:rFonts w:hint="eastAsia" w:ascii="仿宋_GB2312" w:eastAsia="仿宋_GB2312"/>
          <w:bCs/>
          <w:kern w:val="0"/>
          <w:sz w:val="32"/>
          <w:szCs w:val="32"/>
        </w:rPr>
        <w:t>）</w:t>
      </w:r>
      <w:r>
        <w:rPr>
          <w:rFonts w:hint="eastAsia" w:ascii="仿宋_GB2312" w:eastAsia="仿宋_GB2312"/>
          <w:kern w:val="0"/>
          <w:sz w:val="32"/>
          <w:szCs w:val="32"/>
        </w:rPr>
        <w:t>学校公文；（2）高校项目整体执行情况报告；（3）质量工程项目和创新发展行动计划项目汇总表（由系统导出）；（4）各类项目进展报告或结题报告；（5）已结项省级质量工程项目公开展示成果；（6）项目延期申请或整改方案。验收材料模板见附件。</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 xml:space="preserve">5、成果宣传。省级教学研究类项目检查验收材料和教学成果奖的成果推广应用情况由学校自行发布。并于4月30日前，遴选推荐3-5个先进典型材料报送安徽省高等学校质量工程建设办公室，经分类整理后，在安徽高教网上展示，接受社会监督，宣传安徽省高等教育发展成就。 </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四、延期管理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color w:val="000000" w:themeColor="text1"/>
          <w:kern w:val="0"/>
          <w:sz w:val="32"/>
          <w:szCs w:val="32"/>
        </w:rPr>
        <w:t>1、</w:t>
      </w:r>
      <w:r>
        <w:rPr>
          <w:rFonts w:hint="eastAsia" w:ascii="仿宋_GB2312" w:eastAsia="仿宋_GB2312"/>
          <w:kern w:val="0"/>
          <w:sz w:val="32"/>
          <w:szCs w:val="32"/>
        </w:rPr>
        <w:t>因故不能按期完成的省教育厅质量工程项目，可按照教育厅有关规定申请延期一年结题，每个项目仅可申请一次延期。申请延期的项目需提出延期申请，说明延期理由和项目推进计划。</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2、项目不按期结题，学院质量工程项目年度检查验收领导组将按照教育厅相关规定进行处理。</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五、经费管理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省级质量工程项目通过验收后，其经费可以延续使用至2020年6月底；7月1日如结题项目仍存在结余经费，项目负责人要提前填写《教科研结题项目结余经费结转申请表》，并于6月底前报送科研办，将其剩余经费结转到本人主持的其它在研项目。</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2、过期未办理者，剩余经费则自动转入学校教科研账户，财务处停止相关负责人该项目经费审批工作。</w:t>
      </w:r>
    </w:p>
    <w:p>
      <w:pPr>
        <w:widowControl/>
        <w:spacing w:line="580" w:lineRule="exact"/>
        <w:ind w:firstLine="640" w:firstLineChars="200"/>
        <w:jc w:val="left"/>
        <w:rPr>
          <w:rFonts w:ascii="仿宋_GB2312" w:eastAsia="仿宋_GB2312"/>
          <w:kern w:val="0"/>
          <w:sz w:val="32"/>
          <w:szCs w:val="32"/>
        </w:rPr>
      </w:pPr>
    </w:p>
    <w:p>
      <w:pPr>
        <w:widowControl/>
        <w:spacing w:line="580" w:lineRule="exact"/>
        <w:ind w:firstLine="560" w:firstLineChars="200"/>
        <w:jc w:val="left"/>
        <w:rPr>
          <w:rFonts w:ascii="仿宋_GB2312" w:hAnsi="宋体" w:eastAsia="仿宋_GB2312" w:cs="宋体"/>
          <w:bCs/>
          <w:kern w:val="0"/>
          <w:sz w:val="28"/>
          <w:szCs w:val="28"/>
        </w:rPr>
      </w:pPr>
      <w:r>
        <w:rPr>
          <w:rFonts w:hint="eastAsia" w:ascii="仿宋_GB2312" w:eastAsia="仿宋_GB2312"/>
          <w:kern w:val="0"/>
          <w:sz w:val="28"/>
          <w:szCs w:val="28"/>
        </w:rPr>
        <w:t>附件1：省级</w:t>
      </w:r>
      <w:r>
        <w:rPr>
          <w:rFonts w:hint="eastAsia" w:ascii="仿宋_GB2312" w:hAnsi="宋体" w:eastAsia="仿宋_GB2312" w:cs="宋体"/>
          <w:bCs/>
          <w:kern w:val="0"/>
          <w:sz w:val="28"/>
          <w:szCs w:val="28"/>
        </w:rPr>
        <w:t>质量工程项目结题验收一览表</w:t>
      </w:r>
    </w:p>
    <w:p>
      <w:pPr>
        <w:widowControl/>
        <w:spacing w:line="580" w:lineRule="exact"/>
        <w:ind w:firstLine="560" w:firstLineChars="200"/>
        <w:jc w:val="left"/>
        <w:rPr>
          <w:rFonts w:ascii="仿宋_GB2312" w:hAnsi="宋体" w:eastAsia="仿宋_GB2312" w:cs="宋体"/>
          <w:bCs/>
          <w:kern w:val="0"/>
          <w:sz w:val="28"/>
          <w:szCs w:val="28"/>
        </w:rPr>
      </w:pPr>
      <w:r>
        <w:rPr>
          <w:rFonts w:hint="eastAsia" w:ascii="仿宋_GB2312" w:eastAsia="仿宋_GB2312"/>
          <w:kern w:val="0"/>
          <w:sz w:val="28"/>
          <w:szCs w:val="28"/>
        </w:rPr>
        <w:t>附件2：省级</w:t>
      </w:r>
      <w:r>
        <w:rPr>
          <w:rFonts w:hint="eastAsia" w:ascii="仿宋_GB2312" w:hAnsi="宋体" w:eastAsia="仿宋_GB2312" w:cs="宋体"/>
          <w:bCs/>
          <w:kern w:val="0"/>
          <w:sz w:val="28"/>
          <w:szCs w:val="28"/>
        </w:rPr>
        <w:t>质量工程项目年度检查一览表</w:t>
      </w:r>
    </w:p>
    <w:p>
      <w:pPr>
        <w:widowControl/>
        <w:spacing w:line="58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附件3：教育部未认定的高等职业教育创新发展行动计划（2015—2018年）项目</w:t>
      </w:r>
      <w:r>
        <w:rPr>
          <w:rFonts w:hint="eastAsia" w:ascii="仿宋_GB2312" w:hAnsi="宋体" w:eastAsia="仿宋_GB2312" w:cs="宋体"/>
          <w:bCs/>
          <w:kern w:val="0"/>
          <w:sz w:val="28"/>
          <w:szCs w:val="28"/>
        </w:rPr>
        <w:t>结题验收一览表</w:t>
      </w:r>
    </w:p>
    <w:p>
      <w:pPr>
        <w:widowControl/>
        <w:spacing w:line="580" w:lineRule="exact"/>
        <w:ind w:firstLine="640" w:firstLineChars="200"/>
        <w:jc w:val="left"/>
        <w:rPr>
          <w:rFonts w:ascii="仿宋_GB2312" w:hAnsi="宋体" w:eastAsia="仿宋_GB2312" w:cs="宋体"/>
          <w:bCs/>
          <w:kern w:val="0"/>
          <w:sz w:val="32"/>
          <w:szCs w:val="32"/>
        </w:rPr>
      </w:pPr>
    </w:p>
    <w:p>
      <w:pPr>
        <w:widowControl/>
        <w:spacing w:line="580" w:lineRule="exact"/>
        <w:ind w:firstLine="480" w:firstLineChars="200"/>
        <w:jc w:val="left"/>
        <w:rPr>
          <w:rFonts w:ascii="仿宋_GB2312" w:eastAsia="仿宋_GB2312"/>
          <w:kern w:val="0"/>
          <w:sz w:val="32"/>
          <w:szCs w:val="32"/>
        </w:rPr>
      </w:pPr>
      <w:r>
        <w:rPr>
          <w:rFonts w:hint="eastAsia" w:ascii="宋体" w:hAnsi="宋体"/>
          <w:color w:val="000000"/>
          <w:kern w:val="0"/>
          <w:sz w:val="24"/>
          <w:szCs w:val="24"/>
        </w:rPr>
        <w:t xml:space="preserve">                                     </w:t>
      </w:r>
      <w:r>
        <w:rPr>
          <w:rFonts w:hint="eastAsia" w:ascii="仿宋_GB2312" w:eastAsia="仿宋_GB2312"/>
          <w:kern w:val="0"/>
          <w:sz w:val="32"/>
          <w:szCs w:val="32"/>
        </w:rPr>
        <w:t xml:space="preserve">              科研办</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 xml:space="preserve">                               2020年3月20日</w:t>
      </w: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附件1</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省级质量工程项目结题验收一览表</w:t>
      </w:r>
    </w:p>
    <w:p>
      <w:pPr>
        <w:widowControl/>
        <w:shd w:val="clear" w:color="auto" w:fill="FFFFFF"/>
        <w:jc w:val="center"/>
        <w:rPr>
          <w:rFonts w:ascii="仿宋_GB2312" w:hAnsi="宋体" w:eastAsia="仿宋_GB2312" w:cs="宋体"/>
          <w:kern w:val="0"/>
          <w:sz w:val="24"/>
          <w:shd w:val="clear" w:color="auto" w:fill="FFFFFF"/>
        </w:rPr>
      </w:pPr>
    </w:p>
    <w:tbl>
      <w:tblPr>
        <w:tblStyle w:val="7"/>
        <w:tblW w:w="8830" w:type="dxa"/>
        <w:tblInd w:w="0" w:type="dxa"/>
        <w:tblLayout w:type="fixed"/>
        <w:tblCellMar>
          <w:top w:w="0" w:type="dxa"/>
          <w:left w:w="108" w:type="dxa"/>
          <w:bottom w:w="0" w:type="dxa"/>
          <w:right w:w="108" w:type="dxa"/>
        </w:tblCellMar>
      </w:tblPr>
      <w:tblGrid>
        <w:gridCol w:w="721"/>
        <w:gridCol w:w="1155"/>
        <w:gridCol w:w="1591"/>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中国传统文化选讲</w:t>
            </w:r>
          </w:p>
        </w:tc>
        <w:tc>
          <w:tcPr>
            <w:tcW w:w="105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姚明会</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2018.12（延期）</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日语入门</w:t>
            </w:r>
          </w:p>
        </w:tc>
        <w:tc>
          <w:tcPr>
            <w:tcW w:w="105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刘晓春</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2018.12（延期）</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瑜伽</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褚先云</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2018.12（延期）</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省级</w:t>
            </w:r>
            <w:r>
              <w:rPr>
                <w:rFonts w:hint="eastAsia" w:ascii="宋体" w:hAnsi="宋体" w:eastAsia="宋体" w:cs="宋体"/>
                <w:color w:val="000000"/>
                <w:kern w:val="0"/>
                <w:sz w:val="20"/>
                <w:szCs w:val="20"/>
              </w:rPr>
              <w:t>专业综合改革试点</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会计专业综合改革试点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highlight w:val="yellow"/>
              </w:rPr>
              <w:t>袁礼</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省级特色专业</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空中乘务</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highlight w:val="yellow"/>
              </w:rPr>
              <w:t>徐其华</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省级校企合作实践教育基地</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中澳学院-徽州区农村电子商务校企合作实践教育基地</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highlight w:val="yellow"/>
              </w:rPr>
              <w:t>李艳</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省级示范实验实训中心</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国际贸易实训中心</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highlight w:val="yellow"/>
              </w:rPr>
              <w:t>刘丽</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精品开放课程</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思想道德修养与法律基础</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none"/>
              </w:rPr>
              <w:t>陈琳</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精品开放课程</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网络安全技术</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朱昊</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教学研究项目(重点）</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高职曾留守大学生团体心理辅导研究与实践</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卢继富</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教学研究项目（一般）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基于ESP理论的高职公共英语实践教学模式构建与应用研究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陈玲</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教学研究项目（一般）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以学科竞赛为依托的旅游管理专业大学生创新能力培养研究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邵娟</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教学研究项目（一般）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基于职业能力培养的高职公共英语实践教学改革研究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刘会霞</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教学团队</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专创融合教育课程教学团队</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周文山</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校企合作实践教育基地</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安徽中澳科技职业学院轩昂教育集团跨境电商实践教育基地</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吴卉卉</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Cs/>
                <w:kern w:val="0"/>
                <w:sz w:val="20"/>
                <w:szCs w:val="20"/>
              </w:rPr>
              <w:t>16</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示范实验实训中心</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艺术设计实训中心</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高飞</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Cs/>
                <w:kern w:val="0"/>
                <w:sz w:val="20"/>
                <w:szCs w:val="20"/>
              </w:rPr>
              <w:t>17</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规划教材</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经济学基础</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沙其富</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Cs/>
                <w:kern w:val="0"/>
                <w:sz w:val="20"/>
                <w:szCs w:val="20"/>
              </w:rPr>
              <w:t>18</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规划教材</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体育与健康教程</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highlight w:val="yellow"/>
              </w:rPr>
              <w:t>李俊喜</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19</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空中乘务英语</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凌云</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初级舞蹈（爵士舞）</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余育娟</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kern w:val="0"/>
                <w:sz w:val="20"/>
                <w:szCs w:val="20"/>
              </w:rPr>
              <w:t>21</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Flash动画</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程茜</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kern w:val="0"/>
                <w:sz w:val="20"/>
                <w:szCs w:val="20"/>
              </w:rPr>
              <w:t>22</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经济数学</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王旭</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kern w:val="0"/>
                <w:sz w:val="20"/>
                <w:szCs w:val="20"/>
              </w:rPr>
              <w:t>23</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大学生安全教育</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徐健</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健身操舞智慧课堂试点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褚先云</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经济数学智慧课堂试点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王旭</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计算机辅助设计（CAD）智慧课堂试点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黄赟</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普通话与口才训练智慧课堂试点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汤洪丽</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大学生创新创业智慧课堂试点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彭曦</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口语交际智慧课堂试点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许梦原</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经济数学智慧课堂试点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王元明</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bl>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附件2</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省级质量工程项目年度检查一览表</w:t>
      </w:r>
    </w:p>
    <w:p>
      <w:pPr>
        <w:widowControl/>
        <w:shd w:val="clear" w:color="auto" w:fill="FFFFFF"/>
        <w:jc w:val="center"/>
        <w:rPr>
          <w:rFonts w:ascii="仿宋_GB2312" w:hAnsi="宋体" w:eastAsia="仿宋_GB2312" w:cs="宋体"/>
          <w:kern w:val="0"/>
          <w:sz w:val="24"/>
          <w:shd w:val="clear" w:color="auto" w:fill="FFFFFF"/>
        </w:rPr>
      </w:pPr>
    </w:p>
    <w:tbl>
      <w:tblPr>
        <w:tblStyle w:val="7"/>
        <w:tblW w:w="8830" w:type="dxa"/>
        <w:tblInd w:w="0" w:type="dxa"/>
        <w:tblLayout w:type="fixed"/>
        <w:tblCellMar>
          <w:top w:w="0" w:type="dxa"/>
          <w:left w:w="108" w:type="dxa"/>
          <w:bottom w:w="0" w:type="dxa"/>
          <w:right w:w="108" w:type="dxa"/>
        </w:tblCellMar>
      </w:tblPr>
      <w:tblGrid>
        <w:gridCol w:w="721"/>
        <w:gridCol w:w="1129"/>
        <w:gridCol w:w="1617"/>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0" w:lineRule="exact"/>
              <w:ind w:left="31"/>
              <w:rPr>
                <w:rFonts w:ascii="宋体" w:hAnsi="宋体" w:eastAsia="宋体" w:cs="宋体"/>
                <w:kern w:val="0"/>
                <w:sz w:val="20"/>
                <w:szCs w:val="20"/>
              </w:rPr>
            </w:pPr>
            <w:r>
              <w:rPr>
                <w:rFonts w:ascii="宋体" w:hAnsi="宋体" w:eastAsia="宋体" w:cs="宋体"/>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pStyle w:val="19"/>
              <w:spacing w:line="250" w:lineRule="exact"/>
              <w:ind w:left="31"/>
              <w:jc w:val="center"/>
              <w:rPr>
                <w:rFonts w:ascii="宋体" w:hAnsi="宋体" w:eastAsia="宋体" w:cs="宋体"/>
                <w:kern w:val="0"/>
                <w:sz w:val="20"/>
                <w:szCs w:val="20"/>
              </w:rPr>
            </w:pPr>
            <w:r>
              <w:rPr>
                <w:rFonts w:ascii="宋体" w:hAnsi="宋体" w:eastAsia="宋体" w:cs="宋体"/>
              </w:rPr>
              <w:t>办公自动化</w:t>
            </w:r>
          </w:p>
        </w:tc>
        <w:tc>
          <w:tcPr>
            <w:tcW w:w="1054" w:type="dxa"/>
            <w:tcBorders>
              <w:top w:val="nil"/>
              <w:left w:val="nil"/>
              <w:bottom w:val="single" w:color="auto" w:sz="4" w:space="0"/>
              <w:right w:val="single" w:color="auto" w:sz="4" w:space="0"/>
            </w:tcBorders>
            <w:shd w:val="clear" w:color="auto" w:fill="auto"/>
          </w:tcPr>
          <w:p>
            <w:pPr>
              <w:pStyle w:val="19"/>
              <w:spacing w:line="250" w:lineRule="exact"/>
              <w:ind w:left="28"/>
              <w:rPr>
                <w:rFonts w:ascii="宋体" w:hAnsi="宋体" w:eastAsia="宋体" w:cs="宋体"/>
                <w:kern w:val="0"/>
                <w:sz w:val="20"/>
                <w:szCs w:val="20"/>
              </w:rPr>
            </w:pPr>
            <w:r>
              <w:rPr>
                <w:rFonts w:ascii="宋体" w:hAnsi="宋体" w:eastAsia="宋体" w:cs="宋体"/>
                <w:highlight w:val="yellow"/>
              </w:rPr>
              <w:t>李嶒</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0" w:lineRule="exact"/>
              <w:ind w:left="31"/>
              <w:rPr>
                <w:rFonts w:ascii="宋体" w:hAnsi="宋体" w:eastAsia="宋体" w:cs="宋体"/>
                <w:kern w:val="0"/>
                <w:sz w:val="20"/>
                <w:szCs w:val="20"/>
              </w:rPr>
            </w:pPr>
            <w:r>
              <w:rPr>
                <w:rFonts w:ascii="宋体" w:hAnsi="宋体" w:eastAsia="宋体" w:cs="宋体"/>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pStyle w:val="19"/>
              <w:spacing w:line="250" w:lineRule="exact"/>
              <w:ind w:left="31"/>
              <w:jc w:val="center"/>
              <w:rPr>
                <w:rFonts w:ascii="宋体" w:hAnsi="宋体" w:eastAsia="宋体" w:cs="宋体"/>
                <w:kern w:val="0"/>
                <w:sz w:val="20"/>
                <w:szCs w:val="20"/>
              </w:rPr>
            </w:pPr>
            <w:r>
              <w:rPr>
                <w:rFonts w:ascii="宋体" w:hAnsi="宋体" w:eastAsia="宋体" w:cs="宋体"/>
              </w:rPr>
              <w:t>旅游英语-入境篇</w:t>
            </w:r>
          </w:p>
        </w:tc>
        <w:tc>
          <w:tcPr>
            <w:tcW w:w="1054" w:type="dxa"/>
            <w:tcBorders>
              <w:top w:val="nil"/>
              <w:left w:val="nil"/>
              <w:bottom w:val="single" w:color="auto" w:sz="4" w:space="0"/>
              <w:right w:val="single" w:color="auto" w:sz="4" w:space="0"/>
            </w:tcBorders>
            <w:shd w:val="clear" w:color="auto" w:fill="auto"/>
          </w:tcPr>
          <w:p>
            <w:pPr>
              <w:pStyle w:val="19"/>
              <w:spacing w:line="250" w:lineRule="exact"/>
              <w:ind w:left="28"/>
              <w:rPr>
                <w:rFonts w:ascii="宋体" w:hAnsi="宋体" w:eastAsia="宋体" w:cs="宋体"/>
                <w:kern w:val="0"/>
                <w:sz w:val="20"/>
                <w:szCs w:val="20"/>
              </w:rPr>
            </w:pPr>
            <w:r>
              <w:rPr>
                <w:rFonts w:ascii="宋体" w:hAnsi="宋体" w:eastAsia="宋体" w:cs="宋体"/>
                <w:highlight w:val="yellow"/>
              </w:rPr>
              <w:t>宋丽</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0" w:lineRule="exact"/>
              <w:ind w:left="31"/>
              <w:rPr>
                <w:rFonts w:ascii="宋体" w:hAnsi="宋体" w:eastAsia="宋体" w:cs="宋体"/>
                <w:kern w:val="0"/>
                <w:sz w:val="20"/>
                <w:szCs w:val="20"/>
              </w:rPr>
            </w:pPr>
            <w:r>
              <w:rPr>
                <w:rFonts w:ascii="宋体" w:hAnsi="宋体" w:eastAsia="宋体" w:cs="宋体"/>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pStyle w:val="19"/>
              <w:spacing w:line="250" w:lineRule="exact"/>
              <w:ind w:left="31"/>
              <w:jc w:val="center"/>
              <w:rPr>
                <w:rFonts w:ascii="宋体" w:hAnsi="宋体" w:eastAsia="宋体" w:cs="宋体"/>
                <w:kern w:val="0"/>
                <w:sz w:val="20"/>
                <w:szCs w:val="20"/>
              </w:rPr>
            </w:pPr>
            <w:r>
              <w:rPr>
                <w:rFonts w:ascii="宋体" w:hAnsi="宋体" w:eastAsia="宋体" w:cs="宋体"/>
              </w:rPr>
              <w:t>酒店情境英语</w:t>
            </w:r>
          </w:p>
        </w:tc>
        <w:tc>
          <w:tcPr>
            <w:tcW w:w="1054" w:type="dxa"/>
            <w:tcBorders>
              <w:top w:val="nil"/>
              <w:left w:val="nil"/>
              <w:bottom w:val="single" w:color="auto" w:sz="4" w:space="0"/>
              <w:right w:val="single" w:color="auto" w:sz="4" w:space="0"/>
            </w:tcBorders>
            <w:shd w:val="clear" w:color="auto" w:fill="FFFFFF"/>
          </w:tcPr>
          <w:p>
            <w:pPr>
              <w:pStyle w:val="19"/>
              <w:spacing w:line="250" w:lineRule="exact"/>
              <w:ind w:left="28"/>
              <w:rPr>
                <w:rFonts w:ascii="宋体" w:hAnsi="宋体" w:eastAsia="宋体" w:cs="宋体"/>
                <w:kern w:val="0"/>
                <w:sz w:val="20"/>
                <w:szCs w:val="20"/>
              </w:rPr>
            </w:pPr>
            <w:r>
              <w:rPr>
                <w:rFonts w:ascii="宋体" w:hAnsi="宋体" w:eastAsia="宋体" w:cs="宋体"/>
                <w:highlight w:val="yellow"/>
              </w:rPr>
              <w:t>李艳</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2" w:lineRule="exact"/>
              <w:ind w:left="31"/>
              <w:rPr>
                <w:rFonts w:ascii="宋体" w:hAnsi="宋体" w:eastAsia="宋体" w:cs="宋体"/>
                <w:kern w:val="0"/>
                <w:sz w:val="20"/>
                <w:szCs w:val="20"/>
              </w:rPr>
            </w:pPr>
            <w:r>
              <w:rPr>
                <w:rFonts w:ascii="宋体" w:hAnsi="宋体" w:eastAsia="宋体" w:cs="宋体"/>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pStyle w:val="19"/>
              <w:spacing w:line="252" w:lineRule="exact"/>
              <w:ind w:left="31"/>
              <w:jc w:val="center"/>
              <w:rPr>
                <w:rFonts w:ascii="宋体" w:hAnsi="宋体" w:eastAsia="宋体" w:cs="宋体"/>
                <w:color w:val="000000"/>
                <w:kern w:val="0"/>
                <w:sz w:val="20"/>
                <w:szCs w:val="20"/>
              </w:rPr>
            </w:pPr>
            <w:r>
              <w:rPr>
                <w:rFonts w:ascii="宋体" w:hAnsi="宋体" w:eastAsia="宋体" w:cs="宋体"/>
              </w:rPr>
              <w:t>大学生心理健康教育</w:t>
            </w:r>
          </w:p>
        </w:tc>
        <w:tc>
          <w:tcPr>
            <w:tcW w:w="1054" w:type="dxa"/>
            <w:tcBorders>
              <w:top w:val="nil"/>
              <w:left w:val="nil"/>
              <w:bottom w:val="single" w:color="auto" w:sz="4" w:space="0"/>
              <w:right w:val="single" w:color="auto" w:sz="4" w:space="0"/>
            </w:tcBorders>
            <w:shd w:val="clear" w:color="auto" w:fill="FFFFFF"/>
          </w:tcPr>
          <w:p>
            <w:pPr>
              <w:pStyle w:val="19"/>
              <w:spacing w:line="252" w:lineRule="exact"/>
              <w:ind w:left="28"/>
              <w:rPr>
                <w:rFonts w:ascii="宋体" w:hAnsi="宋体" w:eastAsia="宋体" w:cs="宋体"/>
                <w:color w:val="000000"/>
                <w:kern w:val="0"/>
                <w:sz w:val="20"/>
                <w:szCs w:val="20"/>
              </w:rPr>
            </w:pPr>
            <w:r>
              <w:rPr>
                <w:rFonts w:ascii="宋体" w:hAnsi="宋体" w:eastAsia="宋体" w:cs="宋体"/>
                <w:highlight w:val="yellow"/>
              </w:rPr>
              <w:t>盛烨</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2" w:lineRule="exact"/>
              <w:ind w:left="31"/>
              <w:rPr>
                <w:rFonts w:ascii="宋体" w:hAnsi="宋体" w:eastAsia="宋体" w:cs="宋体"/>
                <w:kern w:val="0"/>
                <w:sz w:val="20"/>
                <w:szCs w:val="20"/>
              </w:rPr>
            </w:pPr>
            <w:r>
              <w:rPr>
                <w:rFonts w:ascii="宋体" w:hAnsi="宋体" w:eastAsia="宋体" w:cs="宋体"/>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pStyle w:val="19"/>
              <w:spacing w:line="252" w:lineRule="exact"/>
              <w:ind w:left="31"/>
              <w:jc w:val="center"/>
              <w:rPr>
                <w:rFonts w:ascii="宋体" w:hAnsi="宋体" w:eastAsia="宋体" w:cs="宋体"/>
                <w:kern w:val="0"/>
                <w:sz w:val="20"/>
                <w:szCs w:val="20"/>
              </w:rPr>
            </w:pPr>
            <w:r>
              <w:rPr>
                <w:rFonts w:ascii="宋体" w:hAnsi="宋体" w:eastAsia="宋体" w:cs="宋体"/>
              </w:rPr>
              <w:t>电子商务物流管理</w:t>
            </w:r>
          </w:p>
        </w:tc>
        <w:tc>
          <w:tcPr>
            <w:tcW w:w="1054" w:type="dxa"/>
            <w:tcBorders>
              <w:top w:val="nil"/>
              <w:left w:val="nil"/>
              <w:bottom w:val="single" w:color="auto" w:sz="4" w:space="0"/>
              <w:right w:val="single" w:color="auto" w:sz="4" w:space="0"/>
            </w:tcBorders>
            <w:shd w:val="clear" w:color="auto" w:fill="FFFFFF"/>
          </w:tcPr>
          <w:p>
            <w:pPr>
              <w:pStyle w:val="19"/>
              <w:spacing w:line="252" w:lineRule="exact"/>
              <w:ind w:left="28"/>
              <w:rPr>
                <w:rFonts w:ascii="宋体" w:hAnsi="宋体" w:eastAsia="宋体" w:cs="宋体"/>
                <w:kern w:val="0"/>
                <w:sz w:val="20"/>
                <w:szCs w:val="20"/>
              </w:rPr>
            </w:pPr>
            <w:r>
              <w:rPr>
                <w:rFonts w:ascii="宋体" w:hAnsi="宋体" w:eastAsia="宋体" w:cs="宋体"/>
                <w:highlight w:val="yellow"/>
              </w:rPr>
              <w:t>李艳</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0" w:lineRule="exact"/>
              <w:ind w:left="31"/>
              <w:rPr>
                <w:rFonts w:ascii="宋体" w:hAnsi="宋体" w:eastAsia="宋体" w:cs="宋体"/>
                <w:kern w:val="0"/>
                <w:sz w:val="20"/>
                <w:szCs w:val="20"/>
              </w:rPr>
            </w:pPr>
            <w:r>
              <w:rPr>
                <w:rFonts w:ascii="宋体" w:hAnsi="宋体" w:eastAsia="宋体" w:cs="宋体"/>
              </w:rPr>
              <w:t>高水平高职专业</w:t>
            </w:r>
          </w:p>
        </w:tc>
        <w:tc>
          <w:tcPr>
            <w:tcW w:w="3033" w:type="dxa"/>
            <w:tcBorders>
              <w:top w:val="nil"/>
              <w:left w:val="nil"/>
              <w:bottom w:val="single" w:color="auto" w:sz="4" w:space="0"/>
              <w:right w:val="single" w:color="auto" w:sz="4" w:space="0"/>
            </w:tcBorders>
            <w:shd w:val="clear" w:color="auto" w:fill="auto"/>
          </w:tcPr>
          <w:p>
            <w:pPr>
              <w:pStyle w:val="19"/>
              <w:spacing w:line="250" w:lineRule="exact"/>
              <w:ind w:left="31"/>
              <w:jc w:val="center"/>
              <w:rPr>
                <w:rFonts w:ascii="宋体" w:hAnsi="宋体" w:eastAsia="宋体" w:cs="宋体"/>
                <w:kern w:val="0"/>
                <w:sz w:val="20"/>
                <w:szCs w:val="20"/>
              </w:rPr>
            </w:pPr>
            <w:r>
              <w:rPr>
                <w:rFonts w:ascii="宋体" w:hAnsi="宋体" w:eastAsia="宋体" w:cs="宋体"/>
              </w:rPr>
              <w:t>旅游管理</w:t>
            </w:r>
          </w:p>
        </w:tc>
        <w:tc>
          <w:tcPr>
            <w:tcW w:w="1054" w:type="dxa"/>
            <w:tcBorders>
              <w:top w:val="nil"/>
              <w:left w:val="nil"/>
              <w:bottom w:val="single" w:color="auto" w:sz="4" w:space="0"/>
              <w:right w:val="single" w:color="auto" w:sz="4" w:space="0"/>
            </w:tcBorders>
            <w:shd w:val="clear" w:color="auto" w:fill="FFFFFF"/>
          </w:tcPr>
          <w:p>
            <w:pPr>
              <w:pStyle w:val="19"/>
              <w:spacing w:line="250" w:lineRule="exact"/>
              <w:ind w:left="28"/>
              <w:rPr>
                <w:rFonts w:ascii="宋体" w:hAnsi="宋体" w:eastAsia="宋体" w:cs="宋体"/>
                <w:kern w:val="0"/>
                <w:sz w:val="20"/>
                <w:szCs w:val="20"/>
              </w:rPr>
            </w:pPr>
            <w:r>
              <w:rPr>
                <w:rFonts w:ascii="宋体" w:hAnsi="宋体" w:eastAsia="宋体" w:cs="宋体"/>
                <w:highlight w:val="yellow"/>
              </w:rPr>
              <w:t>邵娟</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2" w:lineRule="exact"/>
              <w:ind w:left="31"/>
              <w:rPr>
                <w:rFonts w:ascii="宋体" w:hAnsi="宋体" w:eastAsia="宋体" w:cs="宋体"/>
                <w:kern w:val="0"/>
                <w:sz w:val="20"/>
                <w:szCs w:val="20"/>
              </w:rPr>
            </w:pPr>
            <w:r>
              <w:rPr>
                <w:rFonts w:ascii="宋体" w:hAnsi="宋体" w:eastAsia="宋体" w:cs="宋体"/>
              </w:rPr>
              <w:t>高水平高职专业</w:t>
            </w:r>
          </w:p>
        </w:tc>
        <w:tc>
          <w:tcPr>
            <w:tcW w:w="3033" w:type="dxa"/>
            <w:tcBorders>
              <w:top w:val="nil"/>
              <w:left w:val="nil"/>
              <w:bottom w:val="single" w:color="auto" w:sz="4" w:space="0"/>
              <w:right w:val="single" w:color="auto" w:sz="4" w:space="0"/>
            </w:tcBorders>
            <w:shd w:val="clear" w:color="auto" w:fill="auto"/>
          </w:tcPr>
          <w:p>
            <w:pPr>
              <w:pStyle w:val="19"/>
              <w:spacing w:line="252" w:lineRule="exact"/>
              <w:ind w:left="31"/>
              <w:jc w:val="center"/>
              <w:rPr>
                <w:rFonts w:ascii="宋体" w:hAnsi="宋体" w:eastAsia="宋体" w:cs="宋体"/>
                <w:kern w:val="0"/>
                <w:sz w:val="20"/>
                <w:szCs w:val="20"/>
              </w:rPr>
            </w:pPr>
            <w:r>
              <w:rPr>
                <w:rFonts w:ascii="宋体" w:hAnsi="宋体" w:eastAsia="宋体" w:cs="宋体"/>
              </w:rPr>
              <w:t>电子商务</w:t>
            </w:r>
          </w:p>
        </w:tc>
        <w:tc>
          <w:tcPr>
            <w:tcW w:w="1054" w:type="dxa"/>
            <w:tcBorders>
              <w:top w:val="nil"/>
              <w:left w:val="nil"/>
              <w:bottom w:val="single" w:color="auto" w:sz="4" w:space="0"/>
              <w:right w:val="single" w:color="auto" w:sz="4" w:space="0"/>
            </w:tcBorders>
            <w:shd w:val="clear" w:color="auto" w:fill="FFFFFF"/>
          </w:tcPr>
          <w:p>
            <w:pPr>
              <w:pStyle w:val="19"/>
              <w:spacing w:line="252" w:lineRule="exact"/>
              <w:ind w:left="28"/>
              <w:rPr>
                <w:rFonts w:ascii="宋体" w:hAnsi="宋体" w:eastAsia="宋体" w:cs="宋体"/>
                <w:kern w:val="0"/>
                <w:sz w:val="20"/>
                <w:szCs w:val="20"/>
              </w:rPr>
            </w:pPr>
            <w:r>
              <w:rPr>
                <w:rFonts w:ascii="宋体" w:hAnsi="宋体" w:eastAsia="宋体" w:cs="宋体"/>
                <w:highlight w:val="yellow"/>
              </w:rPr>
              <w:t>李艳</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before="99"/>
              <w:ind w:left="31"/>
              <w:rPr>
                <w:rFonts w:ascii="宋体" w:hAnsi="宋体" w:eastAsia="宋体" w:cs="宋体"/>
                <w:kern w:val="0"/>
                <w:sz w:val="20"/>
                <w:szCs w:val="20"/>
              </w:rPr>
            </w:pPr>
            <w:r>
              <w:rPr>
                <w:rFonts w:ascii="宋体" w:hAnsi="宋体" w:eastAsia="宋体" w:cs="宋体"/>
              </w:rPr>
              <w:t>高水平教学团队</w:t>
            </w:r>
          </w:p>
        </w:tc>
        <w:tc>
          <w:tcPr>
            <w:tcW w:w="3033" w:type="dxa"/>
            <w:tcBorders>
              <w:top w:val="nil"/>
              <w:left w:val="nil"/>
              <w:bottom w:val="single" w:color="auto" w:sz="4" w:space="0"/>
              <w:right w:val="single" w:color="auto" w:sz="4" w:space="0"/>
            </w:tcBorders>
            <w:shd w:val="clear" w:color="auto" w:fill="auto"/>
          </w:tcPr>
          <w:p>
            <w:pPr>
              <w:pStyle w:val="19"/>
              <w:spacing w:before="4" w:line="272" w:lineRule="exact"/>
              <w:ind w:left="31" w:right="71"/>
              <w:jc w:val="center"/>
              <w:rPr>
                <w:rFonts w:ascii="宋体" w:hAnsi="宋体" w:eastAsia="宋体" w:cs="宋体"/>
                <w:kern w:val="0"/>
                <w:sz w:val="20"/>
                <w:szCs w:val="20"/>
              </w:rPr>
            </w:pPr>
            <w:r>
              <w:rPr>
                <w:rFonts w:ascii="宋体" w:hAnsi="宋体" w:eastAsia="宋体" w:cs="宋体"/>
              </w:rPr>
              <w:t>“立德树人”教育课程教学团</w:t>
            </w:r>
            <w:r>
              <w:rPr>
                <w:rFonts w:ascii="宋体" w:hAnsi="宋体" w:eastAsia="宋体" w:cs="宋体"/>
                <w:spacing w:val="-100"/>
              </w:rPr>
              <w:t xml:space="preserve"> </w:t>
            </w:r>
            <w:r>
              <w:rPr>
                <w:rFonts w:ascii="宋体" w:hAnsi="宋体" w:eastAsia="宋体" w:cs="宋体"/>
              </w:rPr>
              <w:t>队</w:t>
            </w:r>
          </w:p>
        </w:tc>
        <w:tc>
          <w:tcPr>
            <w:tcW w:w="1054" w:type="dxa"/>
            <w:tcBorders>
              <w:top w:val="nil"/>
              <w:left w:val="nil"/>
              <w:bottom w:val="single" w:color="auto" w:sz="4" w:space="0"/>
              <w:right w:val="single" w:color="auto" w:sz="4" w:space="0"/>
            </w:tcBorders>
            <w:shd w:val="clear" w:color="auto" w:fill="FFFFFF"/>
          </w:tcPr>
          <w:p>
            <w:pPr>
              <w:pStyle w:val="19"/>
              <w:spacing w:before="99"/>
              <w:ind w:left="28"/>
              <w:rPr>
                <w:rFonts w:ascii="宋体" w:hAnsi="宋体" w:eastAsia="宋体" w:cs="宋体"/>
                <w:kern w:val="0"/>
                <w:sz w:val="20"/>
                <w:szCs w:val="20"/>
              </w:rPr>
            </w:pPr>
            <w:r>
              <w:rPr>
                <w:rFonts w:ascii="宋体" w:hAnsi="宋体" w:eastAsia="宋体" w:cs="宋体"/>
                <w:highlight w:val="yellow"/>
              </w:rPr>
              <w:t>卢继富</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2" w:lineRule="exact"/>
              <w:ind w:left="31"/>
              <w:rPr>
                <w:rFonts w:ascii="宋体" w:hAnsi="宋体" w:eastAsia="宋体" w:cs="宋体"/>
                <w:kern w:val="0"/>
                <w:sz w:val="20"/>
                <w:szCs w:val="20"/>
              </w:rPr>
            </w:pPr>
            <w:r>
              <w:rPr>
                <w:rFonts w:ascii="宋体" w:hAnsi="宋体" w:eastAsia="宋体" w:cs="宋体"/>
              </w:rPr>
              <w:t>基层教研室示范项目</w:t>
            </w:r>
          </w:p>
        </w:tc>
        <w:tc>
          <w:tcPr>
            <w:tcW w:w="3033" w:type="dxa"/>
            <w:tcBorders>
              <w:top w:val="nil"/>
              <w:left w:val="nil"/>
              <w:bottom w:val="single" w:color="auto" w:sz="4" w:space="0"/>
              <w:right w:val="single" w:color="auto" w:sz="4" w:space="0"/>
            </w:tcBorders>
            <w:shd w:val="clear" w:color="auto" w:fill="auto"/>
          </w:tcPr>
          <w:p>
            <w:pPr>
              <w:pStyle w:val="19"/>
              <w:spacing w:line="252" w:lineRule="exact"/>
              <w:ind w:left="31"/>
              <w:jc w:val="center"/>
              <w:rPr>
                <w:rFonts w:ascii="宋体" w:hAnsi="宋体" w:eastAsia="宋体" w:cs="宋体"/>
                <w:kern w:val="0"/>
                <w:sz w:val="20"/>
                <w:szCs w:val="20"/>
              </w:rPr>
            </w:pPr>
            <w:r>
              <w:rPr>
                <w:rFonts w:ascii="宋体" w:hAnsi="宋体" w:eastAsia="宋体" w:cs="宋体"/>
              </w:rPr>
              <w:t>英语教研室</w:t>
            </w:r>
          </w:p>
        </w:tc>
        <w:tc>
          <w:tcPr>
            <w:tcW w:w="1054" w:type="dxa"/>
            <w:tcBorders>
              <w:top w:val="nil"/>
              <w:left w:val="nil"/>
              <w:bottom w:val="single" w:color="auto" w:sz="4" w:space="0"/>
              <w:right w:val="single" w:color="auto" w:sz="4" w:space="0"/>
            </w:tcBorders>
            <w:shd w:val="clear" w:color="auto" w:fill="FFFFFF"/>
          </w:tcPr>
          <w:p>
            <w:pPr>
              <w:pStyle w:val="19"/>
              <w:spacing w:line="252" w:lineRule="exact"/>
              <w:ind w:left="28"/>
              <w:rPr>
                <w:rFonts w:ascii="宋体" w:hAnsi="宋体" w:eastAsia="宋体" w:cs="宋体"/>
                <w:kern w:val="0"/>
                <w:sz w:val="20"/>
                <w:szCs w:val="20"/>
              </w:rPr>
            </w:pPr>
            <w:r>
              <w:rPr>
                <w:rFonts w:ascii="宋体" w:hAnsi="宋体" w:eastAsia="宋体" w:cs="宋体"/>
                <w:highlight w:val="yellow"/>
              </w:rPr>
              <w:t>刘会霞</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before="4"/>
              <w:rPr>
                <w:rFonts w:ascii="Times New Roman" w:hAnsi="Times New Roman" w:eastAsia="Times New Roman" w:cs="Times New Roman"/>
                <w:sz w:val="20"/>
                <w:szCs w:val="20"/>
              </w:rPr>
            </w:pPr>
          </w:p>
          <w:p>
            <w:pPr>
              <w:pStyle w:val="19"/>
              <w:ind w:left="31"/>
              <w:rPr>
                <w:rFonts w:ascii="宋体" w:hAnsi="宋体" w:eastAsia="宋体" w:cs="宋体"/>
                <w:kern w:val="0"/>
                <w:sz w:val="20"/>
                <w:szCs w:val="20"/>
              </w:rPr>
            </w:pPr>
            <w:r>
              <w:rPr>
                <w:rFonts w:ascii="宋体" w:hAnsi="宋体" w:eastAsia="宋体" w:cs="宋体"/>
              </w:rPr>
              <w:t>教学研究项目</w:t>
            </w:r>
          </w:p>
        </w:tc>
        <w:tc>
          <w:tcPr>
            <w:tcW w:w="3033" w:type="dxa"/>
            <w:tcBorders>
              <w:top w:val="nil"/>
              <w:left w:val="nil"/>
              <w:bottom w:val="single" w:color="auto" w:sz="4" w:space="0"/>
              <w:right w:val="single" w:color="auto" w:sz="4" w:space="0"/>
            </w:tcBorders>
            <w:shd w:val="clear" w:color="auto" w:fill="auto"/>
          </w:tcPr>
          <w:p>
            <w:pPr>
              <w:pStyle w:val="19"/>
              <w:spacing w:before="7" w:line="268" w:lineRule="exact"/>
              <w:ind w:left="31" w:right="71"/>
              <w:jc w:val="center"/>
              <w:rPr>
                <w:rFonts w:ascii="宋体" w:hAnsi="宋体" w:eastAsia="宋体" w:cs="宋体"/>
              </w:rPr>
            </w:pPr>
            <w:r>
              <w:rPr>
                <w:rFonts w:ascii="宋体" w:hAnsi="宋体" w:eastAsia="宋体" w:cs="宋体"/>
              </w:rPr>
              <w:t>AutoCAD课程质量标准与质量</w:t>
            </w:r>
            <w:r>
              <w:rPr>
                <w:rFonts w:ascii="宋体" w:hAnsi="宋体" w:eastAsia="宋体" w:cs="宋体"/>
                <w:spacing w:val="-105"/>
              </w:rPr>
              <w:t xml:space="preserve"> </w:t>
            </w:r>
            <w:r>
              <w:rPr>
                <w:rFonts w:ascii="宋体" w:hAnsi="宋体" w:eastAsia="宋体" w:cs="宋体"/>
              </w:rPr>
              <w:t>保证研究——以安徽中澳学院</w:t>
            </w:r>
          </w:p>
          <w:p>
            <w:pPr>
              <w:pStyle w:val="19"/>
              <w:spacing w:line="248" w:lineRule="exact"/>
              <w:ind w:left="31"/>
              <w:jc w:val="center"/>
              <w:rPr>
                <w:rFonts w:ascii="宋体" w:hAnsi="宋体" w:eastAsia="宋体" w:cs="宋体"/>
                <w:kern w:val="0"/>
                <w:sz w:val="20"/>
                <w:szCs w:val="20"/>
              </w:rPr>
            </w:pPr>
            <w:r>
              <w:rPr>
                <w:rFonts w:ascii="宋体" w:hAnsi="宋体" w:eastAsia="宋体" w:cs="宋体"/>
              </w:rPr>
              <w:t>网络技术专业为例</w:t>
            </w:r>
          </w:p>
        </w:tc>
        <w:tc>
          <w:tcPr>
            <w:tcW w:w="1054" w:type="dxa"/>
            <w:tcBorders>
              <w:top w:val="nil"/>
              <w:left w:val="nil"/>
              <w:bottom w:val="single" w:color="auto" w:sz="4" w:space="0"/>
              <w:right w:val="single" w:color="auto" w:sz="4" w:space="0"/>
            </w:tcBorders>
            <w:shd w:val="clear" w:color="auto" w:fill="FFFFFF"/>
          </w:tcPr>
          <w:p>
            <w:pPr>
              <w:pStyle w:val="19"/>
              <w:spacing w:before="4"/>
              <w:rPr>
                <w:rFonts w:ascii="Times New Roman" w:hAnsi="Times New Roman" w:eastAsia="Times New Roman" w:cs="Times New Roman"/>
                <w:sz w:val="20"/>
                <w:szCs w:val="20"/>
              </w:rPr>
            </w:pPr>
          </w:p>
          <w:p>
            <w:pPr>
              <w:pStyle w:val="19"/>
              <w:ind w:left="28"/>
              <w:rPr>
                <w:rFonts w:ascii="宋体" w:hAnsi="宋体" w:eastAsia="宋体" w:cs="宋体"/>
                <w:kern w:val="0"/>
                <w:sz w:val="20"/>
                <w:szCs w:val="20"/>
              </w:rPr>
            </w:pPr>
            <w:r>
              <w:rPr>
                <w:rFonts w:ascii="宋体" w:hAnsi="宋体" w:eastAsia="宋体" w:cs="宋体"/>
                <w:highlight w:val="yellow"/>
              </w:rPr>
              <w:t>黄赟</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before="99"/>
              <w:ind w:left="31"/>
              <w:rPr>
                <w:rFonts w:ascii="宋体" w:hAnsi="宋体" w:eastAsia="宋体" w:cs="宋体"/>
                <w:kern w:val="0"/>
                <w:sz w:val="20"/>
                <w:szCs w:val="20"/>
              </w:rPr>
            </w:pPr>
            <w:r>
              <w:rPr>
                <w:rFonts w:ascii="宋体" w:hAnsi="宋体" w:eastAsia="宋体" w:cs="宋体"/>
              </w:rPr>
              <w:t>教学研究项目</w:t>
            </w:r>
          </w:p>
        </w:tc>
        <w:tc>
          <w:tcPr>
            <w:tcW w:w="3033" w:type="dxa"/>
            <w:tcBorders>
              <w:top w:val="nil"/>
              <w:left w:val="nil"/>
              <w:bottom w:val="single" w:color="auto" w:sz="4" w:space="0"/>
              <w:right w:val="single" w:color="auto" w:sz="4" w:space="0"/>
            </w:tcBorders>
            <w:shd w:val="clear" w:color="auto" w:fill="auto"/>
          </w:tcPr>
          <w:p>
            <w:pPr>
              <w:pStyle w:val="19"/>
              <w:spacing w:before="5" w:line="270" w:lineRule="exact"/>
              <w:ind w:left="31" w:right="70"/>
              <w:jc w:val="center"/>
              <w:rPr>
                <w:rFonts w:ascii="宋体" w:hAnsi="宋体" w:eastAsia="宋体" w:cs="宋体"/>
                <w:kern w:val="0"/>
                <w:sz w:val="20"/>
                <w:szCs w:val="20"/>
              </w:rPr>
            </w:pPr>
            <w:r>
              <w:rPr>
                <w:rFonts w:ascii="宋体" w:hAnsi="宋体" w:eastAsia="宋体" w:cs="宋体"/>
              </w:rPr>
              <w:t>基于蘑菇丁平台的顶岗实习管</w:t>
            </w:r>
            <w:r>
              <w:rPr>
                <w:rFonts w:ascii="宋体" w:hAnsi="宋体" w:eastAsia="宋体" w:cs="宋体"/>
                <w:spacing w:val="-99"/>
              </w:rPr>
              <w:t xml:space="preserve"> </w:t>
            </w:r>
            <w:r>
              <w:rPr>
                <w:rFonts w:ascii="宋体" w:hAnsi="宋体" w:eastAsia="宋体" w:cs="宋体"/>
              </w:rPr>
              <w:t>理模式研究</w:t>
            </w:r>
          </w:p>
        </w:tc>
        <w:tc>
          <w:tcPr>
            <w:tcW w:w="1054" w:type="dxa"/>
            <w:tcBorders>
              <w:top w:val="nil"/>
              <w:left w:val="nil"/>
              <w:bottom w:val="single" w:color="auto" w:sz="4" w:space="0"/>
              <w:right w:val="single" w:color="auto" w:sz="4" w:space="0"/>
            </w:tcBorders>
            <w:shd w:val="clear" w:color="auto" w:fill="FFFFFF"/>
          </w:tcPr>
          <w:p>
            <w:pPr>
              <w:pStyle w:val="19"/>
              <w:spacing w:before="99"/>
              <w:ind w:left="28"/>
              <w:rPr>
                <w:rFonts w:ascii="宋体" w:hAnsi="宋体" w:eastAsia="宋体" w:cs="宋体"/>
                <w:kern w:val="0"/>
                <w:sz w:val="20"/>
                <w:szCs w:val="20"/>
              </w:rPr>
            </w:pPr>
            <w:r>
              <w:rPr>
                <w:rFonts w:ascii="宋体" w:hAnsi="宋体" w:eastAsia="宋体" w:cs="宋体"/>
                <w:highlight w:val="yellow"/>
              </w:rPr>
              <w:t>袁礼</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ind w:left="31"/>
              <w:rPr>
                <w:rFonts w:ascii="宋体" w:hAnsi="宋体" w:eastAsia="宋体" w:cs="宋体"/>
                <w:kern w:val="0"/>
                <w:sz w:val="20"/>
                <w:szCs w:val="20"/>
              </w:rPr>
            </w:pPr>
            <w:r>
              <w:rPr>
                <w:rFonts w:ascii="宋体" w:hAnsi="宋体" w:eastAsia="宋体" w:cs="宋体"/>
              </w:rPr>
              <w:t>教学研究项目</w:t>
            </w:r>
          </w:p>
        </w:tc>
        <w:tc>
          <w:tcPr>
            <w:tcW w:w="3033" w:type="dxa"/>
            <w:tcBorders>
              <w:top w:val="nil"/>
              <w:left w:val="nil"/>
              <w:bottom w:val="single" w:color="auto" w:sz="4" w:space="0"/>
              <w:right w:val="single" w:color="auto" w:sz="4" w:space="0"/>
            </w:tcBorders>
            <w:shd w:val="clear" w:color="auto" w:fill="auto"/>
          </w:tcPr>
          <w:p>
            <w:pPr>
              <w:pStyle w:val="19"/>
              <w:spacing w:line="272" w:lineRule="exact"/>
              <w:ind w:left="31" w:right="70"/>
              <w:jc w:val="center"/>
              <w:rPr>
                <w:rFonts w:ascii="宋体" w:hAnsi="宋体" w:eastAsia="宋体" w:cs="宋体"/>
                <w:kern w:val="0"/>
                <w:sz w:val="20"/>
                <w:szCs w:val="20"/>
              </w:rPr>
            </w:pPr>
            <w:r>
              <w:rPr>
                <w:rFonts w:ascii="宋体" w:hAnsi="宋体" w:eastAsia="宋体" w:cs="宋体"/>
              </w:rPr>
              <w:t>“大思政”视域下高职思政理</w:t>
            </w:r>
            <w:r>
              <w:rPr>
                <w:rFonts w:ascii="宋体" w:hAnsi="宋体" w:eastAsia="宋体" w:cs="宋体"/>
                <w:spacing w:val="-100"/>
              </w:rPr>
              <w:t xml:space="preserve"> </w:t>
            </w:r>
            <w:r>
              <w:rPr>
                <w:rFonts w:ascii="宋体" w:hAnsi="宋体" w:eastAsia="宋体" w:cs="宋体"/>
              </w:rPr>
              <w:t>论课教学改革探究——以安徽</w:t>
            </w:r>
            <w:r>
              <w:rPr>
                <w:rFonts w:ascii="宋体" w:hAnsi="宋体" w:eastAsia="宋体" w:cs="宋体"/>
                <w:spacing w:val="-101"/>
              </w:rPr>
              <w:t xml:space="preserve"> </w:t>
            </w:r>
            <w:r>
              <w:rPr>
                <w:rFonts w:ascii="宋体" w:hAnsi="宋体" w:eastAsia="宋体" w:cs="宋体"/>
              </w:rPr>
              <w:t>中澳科技职业学院为例</w:t>
            </w:r>
          </w:p>
        </w:tc>
        <w:tc>
          <w:tcPr>
            <w:tcW w:w="1054" w:type="dxa"/>
            <w:tcBorders>
              <w:top w:val="nil"/>
              <w:left w:val="nil"/>
              <w:bottom w:val="single" w:color="auto" w:sz="4" w:space="0"/>
              <w:right w:val="single" w:color="auto" w:sz="4" w:space="0"/>
            </w:tcBorders>
            <w:shd w:val="clear" w:color="auto" w:fill="FFFFFF"/>
          </w:tcPr>
          <w:p>
            <w:pPr>
              <w:pStyle w:val="19"/>
              <w:ind w:left="28"/>
              <w:rPr>
                <w:rFonts w:ascii="宋体" w:hAnsi="宋体" w:eastAsia="宋体" w:cs="宋体"/>
                <w:kern w:val="0"/>
                <w:sz w:val="20"/>
                <w:szCs w:val="20"/>
              </w:rPr>
            </w:pPr>
            <w:r>
              <w:rPr>
                <w:rFonts w:hint="eastAsia" w:ascii="宋体" w:hAnsi="宋体" w:eastAsia="宋体" w:cs="宋体"/>
                <w:highlight w:val="yellow"/>
              </w:rPr>
              <w:t>姜楠</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before="2"/>
              <w:rPr>
                <w:rFonts w:ascii="Times New Roman" w:hAnsi="Times New Roman" w:eastAsia="Times New Roman" w:cs="Times New Roman"/>
                <w:sz w:val="32"/>
                <w:szCs w:val="32"/>
              </w:rPr>
            </w:pPr>
          </w:p>
          <w:p>
            <w:pPr>
              <w:pStyle w:val="19"/>
              <w:ind w:left="31"/>
              <w:rPr>
                <w:rFonts w:ascii="宋体" w:hAnsi="宋体" w:eastAsia="宋体" w:cs="宋体"/>
                <w:kern w:val="0"/>
                <w:sz w:val="20"/>
                <w:szCs w:val="20"/>
              </w:rPr>
            </w:pPr>
            <w:r>
              <w:rPr>
                <w:rFonts w:ascii="宋体" w:hAnsi="宋体" w:eastAsia="宋体" w:cs="宋体"/>
              </w:rPr>
              <w:t>教学研究项目</w:t>
            </w:r>
          </w:p>
        </w:tc>
        <w:tc>
          <w:tcPr>
            <w:tcW w:w="3033" w:type="dxa"/>
            <w:tcBorders>
              <w:top w:val="nil"/>
              <w:left w:val="nil"/>
              <w:bottom w:val="single" w:color="auto" w:sz="4" w:space="0"/>
              <w:right w:val="single" w:color="auto" w:sz="4" w:space="0"/>
            </w:tcBorders>
            <w:shd w:val="clear" w:color="auto" w:fill="auto"/>
          </w:tcPr>
          <w:p>
            <w:pPr>
              <w:pStyle w:val="19"/>
              <w:spacing w:before="1" w:line="272" w:lineRule="exact"/>
              <w:ind w:left="31" w:right="70"/>
              <w:jc w:val="center"/>
              <w:rPr>
                <w:rFonts w:ascii="宋体" w:hAnsi="宋体" w:eastAsia="宋体" w:cs="宋体"/>
              </w:rPr>
            </w:pPr>
            <w:r>
              <w:rPr>
                <w:rFonts w:ascii="宋体" w:hAnsi="宋体" w:eastAsia="宋体" w:cs="宋体"/>
              </w:rPr>
              <w:t>高职院校实习基地评价指标体</w:t>
            </w:r>
            <w:r>
              <w:rPr>
                <w:rFonts w:ascii="宋体" w:hAnsi="宋体" w:eastAsia="宋体" w:cs="宋体"/>
                <w:spacing w:val="-99"/>
              </w:rPr>
              <w:t xml:space="preserve"> </w:t>
            </w:r>
            <w:r>
              <w:rPr>
                <w:rFonts w:ascii="宋体" w:hAnsi="宋体" w:eastAsia="宋体" w:cs="宋体"/>
              </w:rPr>
              <w:t>系研究————以安徽中澳科</w:t>
            </w:r>
          </w:p>
          <w:p>
            <w:pPr>
              <w:pStyle w:val="19"/>
              <w:spacing w:line="272" w:lineRule="exact"/>
              <w:ind w:left="31" w:right="70"/>
              <w:jc w:val="center"/>
              <w:rPr>
                <w:rFonts w:ascii="宋体" w:hAnsi="宋体" w:eastAsia="宋体" w:cs="宋体"/>
                <w:kern w:val="0"/>
                <w:sz w:val="20"/>
                <w:szCs w:val="20"/>
              </w:rPr>
            </w:pPr>
            <w:r>
              <w:rPr>
                <w:rFonts w:ascii="宋体" w:hAnsi="宋体" w:eastAsia="宋体" w:cs="宋体"/>
              </w:rPr>
              <w:t>技职业学院万豪酒店管理学院</w:t>
            </w:r>
            <w:r>
              <w:rPr>
                <w:rFonts w:ascii="宋体" w:hAnsi="宋体" w:eastAsia="宋体" w:cs="宋体"/>
                <w:spacing w:val="-99"/>
              </w:rPr>
              <w:t xml:space="preserve"> </w:t>
            </w:r>
            <w:r>
              <w:rPr>
                <w:rFonts w:ascii="宋体" w:hAnsi="宋体" w:eastAsia="宋体" w:cs="宋体"/>
              </w:rPr>
              <w:t>为例</w:t>
            </w:r>
          </w:p>
        </w:tc>
        <w:tc>
          <w:tcPr>
            <w:tcW w:w="1054" w:type="dxa"/>
            <w:tcBorders>
              <w:top w:val="nil"/>
              <w:left w:val="nil"/>
              <w:bottom w:val="single" w:color="auto" w:sz="4" w:space="0"/>
              <w:right w:val="single" w:color="auto" w:sz="4" w:space="0"/>
            </w:tcBorders>
            <w:shd w:val="clear" w:color="auto" w:fill="FFFFFF"/>
          </w:tcPr>
          <w:p>
            <w:pPr>
              <w:pStyle w:val="19"/>
              <w:spacing w:before="2"/>
              <w:rPr>
                <w:rFonts w:ascii="Times New Roman" w:hAnsi="Times New Roman" w:eastAsia="Times New Roman" w:cs="Times New Roman"/>
                <w:sz w:val="32"/>
                <w:szCs w:val="32"/>
              </w:rPr>
            </w:pPr>
          </w:p>
          <w:p>
            <w:pPr>
              <w:pStyle w:val="19"/>
              <w:ind w:left="28"/>
              <w:rPr>
                <w:rFonts w:ascii="宋体" w:hAnsi="宋体" w:eastAsia="宋体" w:cs="宋体"/>
                <w:kern w:val="0"/>
                <w:sz w:val="20"/>
                <w:szCs w:val="20"/>
              </w:rPr>
            </w:pPr>
            <w:r>
              <w:rPr>
                <w:rFonts w:ascii="宋体" w:hAnsi="宋体" w:eastAsia="宋体" w:cs="宋体"/>
                <w:highlight w:val="yellow"/>
              </w:rPr>
              <w:t>张莉</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0" w:lineRule="exact"/>
              <w:ind w:left="31"/>
              <w:rPr>
                <w:rFonts w:ascii="宋体" w:hAnsi="宋体" w:eastAsia="宋体" w:cs="宋体"/>
                <w:kern w:val="0"/>
                <w:sz w:val="20"/>
                <w:szCs w:val="20"/>
              </w:rPr>
            </w:pPr>
            <w:r>
              <w:rPr>
                <w:rFonts w:ascii="宋体" w:hAnsi="宋体" w:eastAsia="宋体" w:cs="宋体"/>
              </w:rPr>
              <w:t>精品线下开放课程</w:t>
            </w:r>
          </w:p>
        </w:tc>
        <w:tc>
          <w:tcPr>
            <w:tcW w:w="3033" w:type="dxa"/>
            <w:tcBorders>
              <w:top w:val="nil"/>
              <w:left w:val="nil"/>
              <w:bottom w:val="single" w:color="auto" w:sz="4" w:space="0"/>
              <w:right w:val="single" w:color="auto" w:sz="4" w:space="0"/>
            </w:tcBorders>
            <w:shd w:val="clear" w:color="auto" w:fill="auto"/>
          </w:tcPr>
          <w:p>
            <w:pPr>
              <w:pStyle w:val="19"/>
              <w:spacing w:line="250" w:lineRule="exact"/>
              <w:ind w:left="31"/>
              <w:jc w:val="center"/>
              <w:rPr>
                <w:rFonts w:ascii="宋体" w:hAnsi="宋体" w:eastAsia="宋体" w:cs="宋体"/>
                <w:kern w:val="0"/>
                <w:sz w:val="20"/>
                <w:szCs w:val="20"/>
              </w:rPr>
            </w:pPr>
            <w:r>
              <w:rPr>
                <w:rFonts w:ascii="宋体" w:hAnsi="宋体" w:eastAsia="宋体" w:cs="宋体"/>
              </w:rPr>
              <w:t>客户服务与管理实务</w:t>
            </w:r>
          </w:p>
        </w:tc>
        <w:tc>
          <w:tcPr>
            <w:tcW w:w="1054" w:type="dxa"/>
            <w:tcBorders>
              <w:top w:val="nil"/>
              <w:left w:val="nil"/>
              <w:bottom w:val="single" w:color="auto" w:sz="4" w:space="0"/>
              <w:right w:val="single" w:color="auto" w:sz="4" w:space="0"/>
            </w:tcBorders>
            <w:shd w:val="clear" w:color="auto" w:fill="FFFFFF"/>
          </w:tcPr>
          <w:p>
            <w:pPr>
              <w:pStyle w:val="19"/>
              <w:spacing w:line="250" w:lineRule="exact"/>
              <w:ind w:left="28"/>
              <w:rPr>
                <w:rFonts w:ascii="宋体" w:hAnsi="宋体" w:eastAsia="宋体" w:cs="宋体"/>
                <w:kern w:val="0"/>
                <w:sz w:val="20"/>
                <w:szCs w:val="20"/>
              </w:rPr>
            </w:pPr>
            <w:r>
              <w:rPr>
                <w:rFonts w:ascii="宋体" w:hAnsi="宋体" w:eastAsia="宋体" w:cs="宋体"/>
                <w:highlight w:val="yellow"/>
              </w:rPr>
              <w:t>卢灵丽</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before="4"/>
              <w:rPr>
                <w:rFonts w:ascii="Times New Roman" w:hAnsi="Times New Roman" w:eastAsia="Times New Roman" w:cs="Times New Roman"/>
                <w:sz w:val="20"/>
                <w:szCs w:val="20"/>
              </w:rPr>
            </w:pPr>
          </w:p>
          <w:p>
            <w:pPr>
              <w:pStyle w:val="19"/>
              <w:ind w:left="31"/>
              <w:rPr>
                <w:rFonts w:ascii="宋体" w:hAnsi="宋体" w:eastAsia="宋体" w:cs="宋体"/>
                <w:kern w:val="0"/>
                <w:sz w:val="20"/>
                <w:szCs w:val="20"/>
              </w:rPr>
            </w:pPr>
            <w:r>
              <w:rPr>
                <w:rFonts w:ascii="宋体" w:hAnsi="宋体" w:eastAsia="宋体" w:cs="宋体"/>
              </w:rPr>
              <w:t>校企合作实践教育基地</w:t>
            </w:r>
          </w:p>
        </w:tc>
        <w:tc>
          <w:tcPr>
            <w:tcW w:w="3033" w:type="dxa"/>
            <w:tcBorders>
              <w:top w:val="nil"/>
              <w:left w:val="nil"/>
              <w:bottom w:val="single" w:color="auto" w:sz="4" w:space="0"/>
              <w:right w:val="single" w:color="auto" w:sz="4" w:space="0"/>
            </w:tcBorders>
            <w:shd w:val="clear" w:color="auto" w:fill="auto"/>
          </w:tcPr>
          <w:p>
            <w:pPr>
              <w:pStyle w:val="19"/>
              <w:spacing w:before="7" w:line="268" w:lineRule="exact"/>
              <w:ind w:left="31" w:right="70"/>
              <w:jc w:val="center"/>
              <w:rPr>
                <w:rFonts w:ascii="宋体" w:hAnsi="宋体" w:eastAsia="宋体" w:cs="宋体"/>
              </w:rPr>
            </w:pPr>
            <w:r>
              <w:rPr>
                <w:rFonts w:ascii="宋体" w:hAnsi="宋体" w:eastAsia="宋体" w:cs="宋体"/>
              </w:rPr>
              <w:t>安徽中澳科技职业学院合肥美</w:t>
            </w:r>
            <w:r>
              <w:rPr>
                <w:rFonts w:ascii="宋体" w:hAnsi="宋体" w:eastAsia="宋体" w:cs="宋体"/>
                <w:spacing w:val="-99"/>
              </w:rPr>
              <w:t xml:space="preserve"> </w:t>
            </w:r>
            <w:r>
              <w:rPr>
                <w:rFonts w:ascii="宋体" w:hAnsi="宋体" w:eastAsia="宋体" w:cs="宋体"/>
              </w:rPr>
              <w:t>力风健身服务有限公司实践教</w:t>
            </w:r>
          </w:p>
          <w:p>
            <w:pPr>
              <w:pStyle w:val="19"/>
              <w:spacing w:line="248" w:lineRule="exact"/>
              <w:ind w:left="31"/>
              <w:jc w:val="center"/>
              <w:rPr>
                <w:rFonts w:ascii="宋体" w:hAnsi="宋体" w:eastAsia="宋体" w:cs="宋体"/>
                <w:kern w:val="0"/>
                <w:sz w:val="20"/>
                <w:szCs w:val="20"/>
              </w:rPr>
            </w:pPr>
            <w:r>
              <w:rPr>
                <w:rFonts w:ascii="宋体" w:hAnsi="宋体" w:eastAsia="宋体" w:cs="宋体"/>
              </w:rPr>
              <w:t>育基地</w:t>
            </w:r>
          </w:p>
        </w:tc>
        <w:tc>
          <w:tcPr>
            <w:tcW w:w="1054" w:type="dxa"/>
            <w:tcBorders>
              <w:top w:val="nil"/>
              <w:left w:val="nil"/>
              <w:bottom w:val="single" w:color="auto" w:sz="4" w:space="0"/>
              <w:right w:val="single" w:color="auto" w:sz="4" w:space="0"/>
            </w:tcBorders>
            <w:shd w:val="clear" w:color="auto" w:fill="FFFFFF"/>
          </w:tcPr>
          <w:p>
            <w:pPr>
              <w:pStyle w:val="19"/>
              <w:spacing w:before="4"/>
              <w:rPr>
                <w:rFonts w:ascii="Times New Roman" w:hAnsi="Times New Roman" w:eastAsia="Times New Roman" w:cs="Times New Roman"/>
                <w:sz w:val="20"/>
                <w:szCs w:val="20"/>
              </w:rPr>
            </w:pPr>
          </w:p>
          <w:p>
            <w:pPr>
              <w:pStyle w:val="19"/>
              <w:ind w:left="28"/>
              <w:rPr>
                <w:rFonts w:ascii="宋体" w:hAnsi="宋体" w:eastAsia="宋体" w:cs="宋体"/>
                <w:kern w:val="0"/>
                <w:sz w:val="20"/>
                <w:szCs w:val="20"/>
              </w:rPr>
            </w:pPr>
            <w:r>
              <w:rPr>
                <w:rFonts w:ascii="宋体" w:hAnsi="宋体" w:eastAsia="宋体" w:cs="宋体"/>
                <w:highlight w:val="yellow"/>
              </w:rPr>
              <w:t>王元明</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16</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before="4"/>
              <w:rPr>
                <w:rFonts w:ascii="Times New Roman" w:hAnsi="Times New Roman" w:eastAsia="Times New Roman" w:cs="Times New Roman"/>
                <w:sz w:val="20"/>
                <w:szCs w:val="20"/>
              </w:rPr>
            </w:pPr>
          </w:p>
          <w:p>
            <w:pPr>
              <w:pStyle w:val="19"/>
              <w:ind w:left="31"/>
              <w:rPr>
                <w:rFonts w:ascii="宋体" w:hAnsi="宋体" w:eastAsia="宋体" w:cs="宋体"/>
                <w:b/>
                <w:kern w:val="0"/>
                <w:sz w:val="20"/>
                <w:szCs w:val="20"/>
              </w:rPr>
            </w:pPr>
            <w:r>
              <w:rPr>
                <w:rFonts w:ascii="宋体" w:hAnsi="宋体" w:eastAsia="宋体" w:cs="宋体"/>
              </w:rPr>
              <w:t>校企合作实践教育基地</w:t>
            </w:r>
          </w:p>
        </w:tc>
        <w:tc>
          <w:tcPr>
            <w:tcW w:w="3033" w:type="dxa"/>
            <w:tcBorders>
              <w:top w:val="nil"/>
              <w:left w:val="nil"/>
              <w:bottom w:val="single" w:color="auto" w:sz="4" w:space="0"/>
              <w:right w:val="single" w:color="auto" w:sz="4" w:space="0"/>
            </w:tcBorders>
            <w:shd w:val="clear" w:color="auto" w:fill="auto"/>
          </w:tcPr>
          <w:p>
            <w:pPr>
              <w:pStyle w:val="19"/>
              <w:spacing w:line="244" w:lineRule="exact"/>
              <w:ind w:left="31"/>
              <w:jc w:val="center"/>
              <w:rPr>
                <w:rFonts w:ascii="宋体" w:hAnsi="宋体" w:eastAsia="宋体" w:cs="宋体"/>
              </w:rPr>
            </w:pPr>
            <w:r>
              <w:rPr>
                <w:rFonts w:ascii="宋体" w:hAnsi="宋体" w:eastAsia="宋体" w:cs="宋体"/>
              </w:rPr>
              <w:t>安徽中澳科技职业学院安徽智</w:t>
            </w:r>
          </w:p>
          <w:p>
            <w:pPr>
              <w:pStyle w:val="19"/>
              <w:spacing w:before="32" w:line="270" w:lineRule="exact"/>
              <w:ind w:left="31" w:right="70"/>
              <w:jc w:val="center"/>
              <w:rPr>
                <w:rFonts w:ascii="宋体" w:hAnsi="宋体" w:eastAsia="宋体" w:cs="宋体"/>
                <w:b/>
                <w:kern w:val="0"/>
                <w:sz w:val="20"/>
                <w:szCs w:val="20"/>
              </w:rPr>
            </w:pPr>
            <w:r>
              <w:rPr>
                <w:rFonts w:ascii="宋体" w:hAnsi="宋体" w:eastAsia="宋体" w:cs="宋体"/>
              </w:rPr>
              <w:t>巢创客商务服务有限公司实践</w:t>
            </w:r>
            <w:r>
              <w:rPr>
                <w:rFonts w:ascii="宋体" w:hAnsi="宋体" w:eastAsia="宋体" w:cs="宋体"/>
                <w:spacing w:val="-99"/>
              </w:rPr>
              <w:t xml:space="preserve"> </w:t>
            </w:r>
            <w:r>
              <w:rPr>
                <w:rFonts w:ascii="宋体" w:hAnsi="宋体" w:eastAsia="宋体" w:cs="宋体"/>
              </w:rPr>
              <w:t>教育基地</w:t>
            </w:r>
          </w:p>
        </w:tc>
        <w:tc>
          <w:tcPr>
            <w:tcW w:w="1054" w:type="dxa"/>
            <w:tcBorders>
              <w:top w:val="nil"/>
              <w:left w:val="nil"/>
              <w:bottom w:val="single" w:color="auto" w:sz="4" w:space="0"/>
              <w:right w:val="single" w:color="auto" w:sz="4" w:space="0"/>
            </w:tcBorders>
            <w:shd w:val="clear" w:color="auto" w:fill="FFFFFF"/>
          </w:tcPr>
          <w:p>
            <w:pPr>
              <w:pStyle w:val="19"/>
              <w:spacing w:before="4"/>
              <w:rPr>
                <w:rFonts w:ascii="Times New Roman" w:hAnsi="Times New Roman" w:eastAsia="Times New Roman" w:cs="Times New Roman"/>
                <w:sz w:val="20"/>
                <w:szCs w:val="20"/>
              </w:rPr>
            </w:pPr>
          </w:p>
          <w:p>
            <w:pPr>
              <w:pStyle w:val="19"/>
              <w:ind w:left="28"/>
              <w:rPr>
                <w:rFonts w:ascii="宋体" w:hAnsi="宋体" w:eastAsia="宋体" w:cs="宋体"/>
                <w:bCs/>
                <w:kern w:val="0"/>
                <w:sz w:val="20"/>
                <w:szCs w:val="20"/>
              </w:rPr>
            </w:pPr>
            <w:r>
              <w:rPr>
                <w:rFonts w:ascii="宋体" w:hAnsi="宋体" w:eastAsia="宋体" w:cs="宋体"/>
                <w:highlight w:val="yellow"/>
              </w:rPr>
              <w:t>郭素蓉</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17</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2" w:lineRule="exact"/>
              <w:ind w:left="31"/>
              <w:rPr>
                <w:rFonts w:ascii="宋体" w:hAnsi="宋体" w:eastAsia="宋体" w:cs="宋体"/>
                <w:b/>
                <w:kern w:val="0"/>
                <w:sz w:val="20"/>
                <w:szCs w:val="20"/>
              </w:rPr>
            </w:pPr>
            <w:r>
              <w:rPr>
                <w:rFonts w:ascii="宋体" w:hAnsi="宋体" w:eastAsia="宋体" w:cs="宋体"/>
              </w:rPr>
              <w:t>智慧课堂</w:t>
            </w:r>
          </w:p>
        </w:tc>
        <w:tc>
          <w:tcPr>
            <w:tcW w:w="3033" w:type="dxa"/>
            <w:tcBorders>
              <w:top w:val="nil"/>
              <w:left w:val="nil"/>
              <w:bottom w:val="single" w:color="auto" w:sz="4" w:space="0"/>
              <w:right w:val="single" w:color="auto" w:sz="4" w:space="0"/>
            </w:tcBorders>
            <w:shd w:val="clear" w:color="auto" w:fill="auto"/>
          </w:tcPr>
          <w:p>
            <w:pPr>
              <w:pStyle w:val="19"/>
              <w:spacing w:line="252" w:lineRule="exact"/>
              <w:ind w:left="31"/>
              <w:jc w:val="center"/>
              <w:rPr>
                <w:rFonts w:ascii="宋体" w:hAnsi="宋体" w:eastAsia="宋体" w:cs="宋体"/>
                <w:b/>
                <w:kern w:val="0"/>
                <w:sz w:val="20"/>
                <w:szCs w:val="20"/>
              </w:rPr>
            </w:pPr>
            <w:r>
              <w:rPr>
                <w:rFonts w:ascii="宋体" w:hAnsi="宋体" w:eastAsia="宋体" w:cs="宋体"/>
              </w:rPr>
              <w:t>旅游心理学</w:t>
            </w:r>
          </w:p>
        </w:tc>
        <w:tc>
          <w:tcPr>
            <w:tcW w:w="1054" w:type="dxa"/>
            <w:tcBorders>
              <w:top w:val="nil"/>
              <w:left w:val="nil"/>
              <w:bottom w:val="single" w:color="auto" w:sz="4" w:space="0"/>
              <w:right w:val="single" w:color="auto" w:sz="4" w:space="0"/>
            </w:tcBorders>
            <w:shd w:val="clear" w:color="auto" w:fill="FFFFFF"/>
          </w:tcPr>
          <w:p>
            <w:pPr>
              <w:pStyle w:val="19"/>
              <w:spacing w:line="252" w:lineRule="exact"/>
              <w:ind w:left="28"/>
              <w:rPr>
                <w:rFonts w:ascii="宋体" w:hAnsi="宋体" w:eastAsia="宋体" w:cs="宋体"/>
                <w:bCs/>
                <w:kern w:val="0"/>
                <w:sz w:val="20"/>
                <w:szCs w:val="20"/>
                <w:highlight w:val="yellow"/>
              </w:rPr>
            </w:pPr>
            <w:r>
              <w:rPr>
                <w:rFonts w:ascii="宋体" w:hAnsi="宋体" w:eastAsia="宋体" w:cs="宋体"/>
                <w:highlight w:val="yellow"/>
              </w:rPr>
              <w:t>张涛</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18</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pStyle w:val="19"/>
              <w:spacing w:line="252" w:lineRule="exact"/>
              <w:ind w:left="31"/>
              <w:rPr>
                <w:rFonts w:ascii="宋体" w:hAnsi="宋体" w:eastAsia="宋体" w:cs="宋体"/>
                <w:b/>
                <w:kern w:val="0"/>
                <w:sz w:val="20"/>
                <w:szCs w:val="20"/>
              </w:rPr>
            </w:pPr>
            <w:r>
              <w:rPr>
                <w:rFonts w:ascii="宋体" w:hAnsi="宋体" w:eastAsia="宋体" w:cs="宋体"/>
              </w:rPr>
              <w:t>智慧课堂</w:t>
            </w:r>
          </w:p>
        </w:tc>
        <w:tc>
          <w:tcPr>
            <w:tcW w:w="3033" w:type="dxa"/>
            <w:tcBorders>
              <w:top w:val="nil"/>
              <w:left w:val="nil"/>
              <w:bottom w:val="single" w:color="auto" w:sz="4" w:space="0"/>
              <w:right w:val="single" w:color="auto" w:sz="4" w:space="0"/>
            </w:tcBorders>
            <w:shd w:val="clear" w:color="auto" w:fill="auto"/>
          </w:tcPr>
          <w:p>
            <w:pPr>
              <w:pStyle w:val="19"/>
              <w:spacing w:line="252" w:lineRule="exact"/>
              <w:ind w:left="31"/>
              <w:jc w:val="center"/>
              <w:rPr>
                <w:rFonts w:ascii="宋体" w:hAnsi="宋体" w:eastAsia="宋体" w:cs="宋体"/>
                <w:b/>
                <w:kern w:val="0"/>
                <w:sz w:val="20"/>
                <w:szCs w:val="20"/>
              </w:rPr>
            </w:pPr>
            <w:r>
              <w:rPr>
                <w:rFonts w:ascii="宋体" w:hAnsi="宋体" w:eastAsia="宋体" w:cs="宋体"/>
              </w:rPr>
              <w:t>艺术设计导论</w:t>
            </w:r>
          </w:p>
        </w:tc>
        <w:tc>
          <w:tcPr>
            <w:tcW w:w="1054" w:type="dxa"/>
            <w:tcBorders>
              <w:top w:val="nil"/>
              <w:left w:val="nil"/>
              <w:bottom w:val="single" w:color="auto" w:sz="4" w:space="0"/>
              <w:right w:val="single" w:color="auto" w:sz="4" w:space="0"/>
            </w:tcBorders>
            <w:shd w:val="clear" w:color="auto" w:fill="FFFFFF"/>
          </w:tcPr>
          <w:p>
            <w:pPr>
              <w:pStyle w:val="19"/>
              <w:spacing w:line="252" w:lineRule="exact"/>
              <w:ind w:left="28"/>
              <w:rPr>
                <w:rFonts w:ascii="宋体" w:hAnsi="宋体" w:eastAsia="宋体" w:cs="宋体"/>
                <w:bCs/>
                <w:kern w:val="0"/>
                <w:sz w:val="20"/>
                <w:szCs w:val="20"/>
                <w:highlight w:val="yellow"/>
              </w:rPr>
            </w:pPr>
            <w:r>
              <w:rPr>
                <w:rFonts w:ascii="宋体" w:hAnsi="宋体" w:eastAsia="宋体" w:cs="宋体"/>
                <w:highlight w:val="yellow"/>
              </w:rPr>
              <w:t>崔金敏</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kern w:val="0"/>
                <w:sz w:val="20"/>
                <w:szCs w:val="20"/>
              </w:rPr>
            </w:pPr>
            <w:r>
              <w:rPr>
                <w:rFonts w:hint="eastAsia" w:ascii="宋体" w:hAnsi="宋体" w:eastAsia="宋体" w:cs="宋体"/>
                <w:kern w:val="0"/>
                <w:sz w:val="20"/>
                <w:szCs w:val="20"/>
              </w:rPr>
              <w:t>2020.12</w:t>
            </w:r>
          </w:p>
        </w:tc>
      </w:tr>
    </w:tbl>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580" w:lineRule="exact"/>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附件3：</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教育部未认定的高等职业教育创新发展行动计划</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（2015—2018年）项目结题验收一览表</w:t>
      </w:r>
    </w:p>
    <w:tbl>
      <w:tblPr>
        <w:tblStyle w:val="7"/>
        <w:tblW w:w="7554" w:type="dxa"/>
        <w:tblInd w:w="0" w:type="dxa"/>
        <w:tblLayout w:type="fixed"/>
        <w:tblCellMar>
          <w:top w:w="0" w:type="dxa"/>
          <w:left w:w="108" w:type="dxa"/>
          <w:bottom w:w="0" w:type="dxa"/>
          <w:right w:w="108" w:type="dxa"/>
        </w:tblCellMar>
      </w:tblPr>
      <w:tblGrid>
        <w:gridCol w:w="721"/>
        <w:gridCol w:w="1129"/>
        <w:gridCol w:w="1617"/>
        <w:gridCol w:w="3033"/>
        <w:gridCol w:w="1054"/>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201</w:t>
            </w:r>
            <w:r>
              <w:rPr>
                <w:rFonts w:hint="eastAsia" w:ascii="宋体" w:hAnsi="宋体" w:eastAsia="宋体" w:cs="宋体"/>
                <w:kern w:val="0"/>
                <w:sz w:val="20"/>
                <w:szCs w:val="20"/>
                <w:lang w:val="en-US" w:eastAsia="zh-CN"/>
              </w:rPr>
              <w:t>6</w:t>
            </w:r>
          </w:p>
        </w:tc>
        <w:tc>
          <w:tcPr>
            <w:tcW w:w="1617" w:type="dxa"/>
            <w:vMerge w:val="restart"/>
            <w:tcBorders>
              <w:top w:val="nil"/>
              <w:left w:val="nil"/>
              <w:right w:val="single" w:color="auto" w:sz="4" w:space="0"/>
            </w:tcBorders>
            <w:shd w:val="clear" w:color="auto" w:fill="auto"/>
          </w:tcPr>
          <w:p>
            <w:pPr>
              <w:pStyle w:val="19"/>
              <w:spacing w:line="250" w:lineRule="exact"/>
              <w:ind w:left="31"/>
              <w:rPr>
                <w:rFonts w:hint="eastAsia" w:ascii="宋体" w:hAnsi="宋体" w:eastAsia="宋体" w:cs="宋体"/>
              </w:rPr>
            </w:pPr>
          </w:p>
          <w:p>
            <w:pPr>
              <w:pStyle w:val="19"/>
              <w:spacing w:line="250" w:lineRule="exact"/>
              <w:ind w:left="31"/>
              <w:rPr>
                <w:rFonts w:hint="eastAsia" w:ascii="宋体" w:hAnsi="宋体" w:eastAsia="宋体" w:cs="宋体"/>
              </w:rPr>
            </w:pPr>
          </w:p>
          <w:p>
            <w:pPr>
              <w:pStyle w:val="19"/>
              <w:spacing w:line="250" w:lineRule="exact"/>
              <w:ind w:left="31"/>
              <w:rPr>
                <w:rFonts w:ascii="宋体" w:hAnsi="宋体" w:eastAsia="宋体" w:cs="宋体"/>
                <w:kern w:val="0"/>
                <w:sz w:val="20"/>
                <w:szCs w:val="20"/>
              </w:rPr>
            </w:pPr>
            <w:r>
              <w:rPr>
                <w:rFonts w:hint="eastAsia" w:ascii="宋体" w:hAnsi="宋体" w:eastAsia="宋体" w:cs="宋体"/>
              </w:rPr>
              <w:t>骨干专业</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空中乘务</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highlight w:val="yellow"/>
                <w:u w:val="none"/>
                <w:lang w:val="en-US" w:eastAsia="zh-CN" w:bidi="ar"/>
              </w:rPr>
              <w:t>徐其华</w:t>
            </w:r>
          </w:p>
        </w:tc>
      </w:tr>
      <w:tr>
        <w:tblPrEx>
          <w:tblCellMar>
            <w:top w:w="0" w:type="dxa"/>
            <w:left w:w="108" w:type="dxa"/>
            <w:bottom w:w="0" w:type="dxa"/>
            <w:right w:w="108" w:type="dxa"/>
          </w:tblCellMar>
        </w:tblPrEx>
        <w:trPr>
          <w:trHeight w:val="39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w:t>
            </w:r>
            <w:r>
              <w:rPr>
                <w:rFonts w:hint="eastAsia" w:ascii="宋体" w:hAnsi="宋体" w:eastAsia="宋体" w:cs="宋体"/>
                <w:kern w:val="0"/>
                <w:sz w:val="20"/>
                <w:szCs w:val="20"/>
                <w:lang w:val="en-US" w:eastAsia="zh-CN"/>
              </w:rPr>
              <w:t>6</w:t>
            </w:r>
          </w:p>
        </w:tc>
        <w:tc>
          <w:tcPr>
            <w:tcW w:w="1617" w:type="dxa"/>
            <w:vMerge w:val="continue"/>
            <w:tcBorders>
              <w:left w:val="nil"/>
              <w:right w:val="single" w:color="auto" w:sz="4" w:space="0"/>
            </w:tcBorders>
            <w:shd w:val="clear" w:color="auto" w:fill="auto"/>
          </w:tcPr>
          <w:p>
            <w:pPr>
              <w:pStyle w:val="19"/>
              <w:spacing w:line="250" w:lineRule="exact"/>
              <w:ind w:left="31"/>
              <w:rPr>
                <w:rFonts w:ascii="宋体" w:hAnsi="宋体" w:eastAsia="宋体" w:cs="宋体"/>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color w:val="000000"/>
                <w:kern w:val="0"/>
                <w:sz w:val="20"/>
                <w:szCs w:val="20"/>
                <w:u w:val="none"/>
                <w:lang w:val="en-US" w:eastAsia="zh-CN" w:bidi="ar"/>
              </w:rPr>
              <w:t>商务英语</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rPr>
            </w:pPr>
            <w:r>
              <w:rPr>
                <w:rFonts w:hint="eastAsia" w:ascii="宋体" w:hAnsi="宋体" w:eastAsia="宋体" w:cs="宋体"/>
                <w:i w:val="0"/>
                <w:color w:val="000000"/>
                <w:kern w:val="0"/>
                <w:sz w:val="20"/>
                <w:szCs w:val="20"/>
                <w:u w:val="none"/>
                <w:lang w:val="en-US" w:eastAsia="zh-CN" w:bidi="ar"/>
              </w:rPr>
              <w:t>吴卉卉</w:t>
            </w:r>
          </w:p>
        </w:tc>
      </w:tr>
      <w:tr>
        <w:tblPrEx>
          <w:tblCellMar>
            <w:top w:w="0" w:type="dxa"/>
            <w:left w:w="108" w:type="dxa"/>
            <w:bottom w:w="0" w:type="dxa"/>
            <w:right w:w="108" w:type="dxa"/>
          </w:tblCellMar>
        </w:tblPrEx>
        <w:trPr>
          <w:trHeight w:val="39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w:t>
            </w:r>
            <w:r>
              <w:rPr>
                <w:rFonts w:hint="eastAsia" w:ascii="宋体" w:hAnsi="宋体" w:eastAsia="宋体" w:cs="宋体"/>
                <w:kern w:val="0"/>
                <w:sz w:val="20"/>
                <w:szCs w:val="20"/>
                <w:lang w:val="en-US" w:eastAsia="zh-CN"/>
              </w:rPr>
              <w:t>6</w:t>
            </w:r>
          </w:p>
        </w:tc>
        <w:tc>
          <w:tcPr>
            <w:tcW w:w="1617" w:type="dxa"/>
            <w:vMerge w:val="continue"/>
            <w:tcBorders>
              <w:left w:val="nil"/>
              <w:bottom w:val="single" w:color="auto" w:sz="4" w:space="0"/>
              <w:right w:val="single" w:color="auto" w:sz="4" w:space="0"/>
            </w:tcBorders>
            <w:shd w:val="clear" w:color="auto" w:fill="auto"/>
          </w:tcPr>
          <w:p>
            <w:pPr>
              <w:pStyle w:val="19"/>
              <w:spacing w:line="250" w:lineRule="exact"/>
              <w:ind w:left="31"/>
              <w:rPr>
                <w:rFonts w:ascii="宋体" w:hAnsi="宋体" w:eastAsia="宋体" w:cs="宋体"/>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color w:val="000000"/>
                <w:kern w:val="0"/>
                <w:sz w:val="20"/>
                <w:szCs w:val="20"/>
                <w:u w:val="none"/>
                <w:lang w:val="en-US" w:eastAsia="zh-CN" w:bidi="ar"/>
              </w:rPr>
              <w:t>计算机网络技术</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rPr>
            </w:pPr>
            <w:r>
              <w:rPr>
                <w:rFonts w:hint="eastAsia" w:ascii="宋体" w:hAnsi="宋体" w:eastAsia="宋体" w:cs="宋体"/>
                <w:i w:val="0"/>
                <w:color w:val="000000"/>
                <w:kern w:val="0"/>
                <w:sz w:val="20"/>
                <w:szCs w:val="20"/>
                <w:u w:val="none"/>
                <w:lang w:val="en-US" w:eastAsia="zh-CN" w:bidi="ar"/>
              </w:rPr>
              <w:t>李嶒</w:t>
            </w:r>
          </w:p>
        </w:tc>
      </w:tr>
      <w:tr>
        <w:tblPrEx>
          <w:tblCellMar>
            <w:top w:w="0" w:type="dxa"/>
            <w:left w:w="108" w:type="dxa"/>
            <w:bottom w:w="0" w:type="dxa"/>
            <w:right w:w="108" w:type="dxa"/>
          </w:tblCellMar>
        </w:tblPrEx>
        <w:trPr>
          <w:trHeight w:val="39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w:t>
            </w:r>
            <w:r>
              <w:rPr>
                <w:rFonts w:hint="eastAsia" w:ascii="宋体" w:hAnsi="宋体" w:eastAsia="宋体" w:cs="宋体"/>
                <w:kern w:val="0"/>
                <w:sz w:val="20"/>
                <w:szCs w:val="20"/>
                <w:lang w:val="en-US" w:eastAsia="zh-CN"/>
              </w:rPr>
              <w:t>6</w:t>
            </w:r>
          </w:p>
        </w:tc>
        <w:tc>
          <w:tcPr>
            <w:tcW w:w="1617" w:type="dxa"/>
            <w:vMerge w:val="restart"/>
            <w:tcBorders>
              <w:top w:val="single" w:color="auto" w:sz="4" w:space="0"/>
              <w:left w:val="single" w:color="auto" w:sz="4" w:space="0"/>
              <w:right w:val="single" w:color="auto" w:sz="4" w:space="0"/>
            </w:tcBorders>
            <w:shd w:val="clear" w:color="auto" w:fill="auto"/>
          </w:tcPr>
          <w:p>
            <w:pPr>
              <w:pStyle w:val="19"/>
              <w:spacing w:line="250" w:lineRule="exact"/>
              <w:ind w:left="31"/>
              <w:rPr>
                <w:rFonts w:ascii="宋体" w:hAnsi="宋体" w:eastAsia="宋体" w:cs="宋体"/>
              </w:rPr>
            </w:pPr>
            <w:r>
              <w:rPr>
                <w:rFonts w:hint="eastAsia" w:ascii="宋体" w:hAnsi="宋体" w:eastAsia="宋体" w:cs="宋体"/>
              </w:rPr>
              <w:t>校企共建的生产性实训基地建设</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color w:val="000000"/>
                <w:kern w:val="0"/>
                <w:sz w:val="20"/>
                <w:szCs w:val="20"/>
                <w:u w:val="none"/>
                <w:lang w:val="en-US" w:eastAsia="zh-CN" w:bidi="ar"/>
              </w:rPr>
              <w:t>校企军地</w:t>
            </w:r>
            <w:r>
              <w:rPr>
                <w:rFonts w:hint="eastAsia" w:ascii="宋体" w:hAnsi="宋体" w:eastAsia="宋体" w:cs="宋体"/>
              </w:rPr>
              <w:t>共建的生产性实训基地建设</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rPr>
            </w:pPr>
            <w:r>
              <w:rPr>
                <w:rFonts w:hint="eastAsia" w:ascii="宋体" w:hAnsi="宋体" w:eastAsia="宋体" w:cs="宋体"/>
                <w:i w:val="0"/>
                <w:color w:val="000000"/>
                <w:kern w:val="0"/>
                <w:sz w:val="20"/>
                <w:szCs w:val="20"/>
                <w:u w:val="none"/>
                <w:lang w:val="en-US" w:eastAsia="zh-CN" w:bidi="ar"/>
              </w:rPr>
              <w:t>龚光雄</w:t>
            </w:r>
          </w:p>
        </w:tc>
      </w:tr>
      <w:tr>
        <w:tblPrEx>
          <w:tblCellMar>
            <w:top w:w="0" w:type="dxa"/>
            <w:left w:w="108" w:type="dxa"/>
            <w:bottom w:w="0" w:type="dxa"/>
            <w:right w:w="108" w:type="dxa"/>
          </w:tblCellMar>
        </w:tblPrEx>
        <w:trPr>
          <w:trHeight w:val="39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w:t>
            </w:r>
            <w:r>
              <w:rPr>
                <w:rFonts w:hint="eastAsia" w:ascii="宋体" w:hAnsi="宋体" w:eastAsia="宋体" w:cs="宋体"/>
                <w:kern w:val="0"/>
                <w:sz w:val="20"/>
                <w:szCs w:val="20"/>
                <w:lang w:val="en-US" w:eastAsia="zh-CN"/>
              </w:rPr>
              <w:t>6</w:t>
            </w:r>
          </w:p>
        </w:tc>
        <w:tc>
          <w:tcPr>
            <w:tcW w:w="1617" w:type="dxa"/>
            <w:vMerge w:val="continue"/>
            <w:tcBorders>
              <w:left w:val="single" w:color="auto" w:sz="4" w:space="0"/>
              <w:bottom w:val="single" w:color="auto" w:sz="4" w:space="0"/>
              <w:right w:val="single" w:color="auto" w:sz="4" w:space="0"/>
            </w:tcBorders>
            <w:shd w:val="clear" w:color="auto" w:fill="auto"/>
          </w:tcPr>
          <w:p>
            <w:pPr>
              <w:pStyle w:val="19"/>
              <w:spacing w:line="250" w:lineRule="exact"/>
              <w:ind w:left="31"/>
              <w:rPr>
                <w:rFonts w:ascii="宋体" w:hAnsi="宋体" w:eastAsia="宋体" w:cs="宋体"/>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rPr>
            </w:pPr>
            <w:r>
              <w:rPr>
                <w:rFonts w:hint="eastAsia" w:ascii="宋体" w:hAnsi="宋体" w:eastAsia="宋体" w:cs="宋体"/>
                <w:i w:val="0"/>
                <w:color w:val="000000"/>
                <w:kern w:val="0"/>
                <w:sz w:val="20"/>
                <w:szCs w:val="20"/>
                <w:u w:val="none"/>
                <w:lang w:val="en-US" w:eastAsia="zh-CN" w:bidi="ar"/>
              </w:rPr>
              <w:t>健身指导与管理专业</w:t>
            </w:r>
            <w:r>
              <w:rPr>
                <w:rFonts w:hint="eastAsia" w:ascii="宋体" w:hAnsi="宋体" w:eastAsia="宋体" w:cs="宋体"/>
              </w:rPr>
              <w:t>校企共建的生产性实训基地建设</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rPr>
            </w:pPr>
            <w:r>
              <w:rPr>
                <w:rFonts w:hint="eastAsia" w:ascii="宋体" w:hAnsi="宋体" w:eastAsia="宋体" w:cs="宋体"/>
                <w:i w:val="0"/>
                <w:color w:val="000000"/>
                <w:kern w:val="0"/>
                <w:sz w:val="20"/>
                <w:szCs w:val="20"/>
                <w:u w:val="none"/>
                <w:lang w:val="en-US" w:eastAsia="zh-CN" w:bidi="ar"/>
              </w:rPr>
              <w:t>王元明</w:t>
            </w:r>
          </w:p>
        </w:tc>
      </w:tr>
    </w:tbl>
    <w:p>
      <w:pPr>
        <w:widowControl/>
        <w:shd w:val="clear" w:color="auto" w:fill="FFFFFF"/>
        <w:rPr>
          <w:rFonts w:ascii="仿宋_GB2312" w:hAnsi="宋体" w:eastAsia="仿宋_GB2312" w:cs="宋体"/>
          <w:b/>
          <w:kern w:val="0"/>
          <w:sz w:val="32"/>
          <w:szCs w:val="32"/>
          <w:shd w:val="clear" w:color="auto" w:fill="FFFFFF"/>
        </w:rPr>
      </w:pPr>
    </w:p>
    <w:p>
      <w:pPr>
        <w:widowControl/>
        <w:spacing w:line="480" w:lineRule="auto"/>
      </w:pPr>
    </w:p>
    <w:p>
      <w:pPr>
        <w:widowControl/>
        <w:spacing w:line="480" w:lineRule="auto"/>
      </w:pPr>
    </w:p>
    <w:p>
      <w:pPr>
        <w:widowControl/>
        <w:spacing w:line="480" w:lineRule="auto"/>
      </w:pPr>
    </w:p>
    <w:p>
      <w:pPr>
        <w:widowControl/>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0434A"/>
    <w:rsid w:val="000138A4"/>
    <w:rsid w:val="00014EAE"/>
    <w:rsid w:val="00043FA6"/>
    <w:rsid w:val="000A281B"/>
    <w:rsid w:val="000D6D97"/>
    <w:rsid w:val="0010434A"/>
    <w:rsid w:val="001452B4"/>
    <w:rsid w:val="00197C49"/>
    <w:rsid w:val="001A1003"/>
    <w:rsid w:val="001A329D"/>
    <w:rsid w:val="001B2DD6"/>
    <w:rsid w:val="00323692"/>
    <w:rsid w:val="00326DCE"/>
    <w:rsid w:val="00335EB9"/>
    <w:rsid w:val="0035551F"/>
    <w:rsid w:val="00384E31"/>
    <w:rsid w:val="003C4045"/>
    <w:rsid w:val="00414B18"/>
    <w:rsid w:val="00452DF4"/>
    <w:rsid w:val="004756CA"/>
    <w:rsid w:val="0048763E"/>
    <w:rsid w:val="004D2D4D"/>
    <w:rsid w:val="006510AA"/>
    <w:rsid w:val="00651B3E"/>
    <w:rsid w:val="006F549A"/>
    <w:rsid w:val="00766ABB"/>
    <w:rsid w:val="007F4D83"/>
    <w:rsid w:val="00A15275"/>
    <w:rsid w:val="00A47282"/>
    <w:rsid w:val="00A933E5"/>
    <w:rsid w:val="00B2632B"/>
    <w:rsid w:val="00B34109"/>
    <w:rsid w:val="00B4002B"/>
    <w:rsid w:val="00BF61C5"/>
    <w:rsid w:val="00C00361"/>
    <w:rsid w:val="00C128BE"/>
    <w:rsid w:val="00D31A2B"/>
    <w:rsid w:val="00D41387"/>
    <w:rsid w:val="00DA2E30"/>
    <w:rsid w:val="00E60B39"/>
    <w:rsid w:val="00ED6EF3"/>
    <w:rsid w:val="00F32703"/>
    <w:rsid w:val="00F6711E"/>
    <w:rsid w:val="00F83833"/>
    <w:rsid w:val="04800C7C"/>
    <w:rsid w:val="05D2670A"/>
    <w:rsid w:val="069446F2"/>
    <w:rsid w:val="071E0277"/>
    <w:rsid w:val="09376128"/>
    <w:rsid w:val="09807514"/>
    <w:rsid w:val="0AA9041F"/>
    <w:rsid w:val="0B2D53CC"/>
    <w:rsid w:val="0C60053D"/>
    <w:rsid w:val="0DD0065B"/>
    <w:rsid w:val="12BC534B"/>
    <w:rsid w:val="13176EB0"/>
    <w:rsid w:val="13F52689"/>
    <w:rsid w:val="15207C7D"/>
    <w:rsid w:val="15857399"/>
    <w:rsid w:val="16282FF5"/>
    <w:rsid w:val="170B6D94"/>
    <w:rsid w:val="182A585D"/>
    <w:rsid w:val="194154BC"/>
    <w:rsid w:val="19DD1E72"/>
    <w:rsid w:val="1F2513EC"/>
    <w:rsid w:val="22714302"/>
    <w:rsid w:val="22CB424B"/>
    <w:rsid w:val="23412E3E"/>
    <w:rsid w:val="24B75721"/>
    <w:rsid w:val="24C872D6"/>
    <w:rsid w:val="25B46293"/>
    <w:rsid w:val="26A61FB0"/>
    <w:rsid w:val="26D46197"/>
    <w:rsid w:val="27703FEB"/>
    <w:rsid w:val="29F34E98"/>
    <w:rsid w:val="2A1C64AA"/>
    <w:rsid w:val="2A700B56"/>
    <w:rsid w:val="2B5C67A5"/>
    <w:rsid w:val="2BD70FB8"/>
    <w:rsid w:val="2C065126"/>
    <w:rsid w:val="31AE0451"/>
    <w:rsid w:val="32006D4F"/>
    <w:rsid w:val="325D422F"/>
    <w:rsid w:val="360620F4"/>
    <w:rsid w:val="361225C9"/>
    <w:rsid w:val="365C6B57"/>
    <w:rsid w:val="374A048C"/>
    <w:rsid w:val="3A365C0F"/>
    <w:rsid w:val="3BD079D5"/>
    <w:rsid w:val="3BEC5D82"/>
    <w:rsid w:val="3CD974F7"/>
    <w:rsid w:val="3D3825C6"/>
    <w:rsid w:val="3ED21BAF"/>
    <w:rsid w:val="41F0292E"/>
    <w:rsid w:val="42ED2E0A"/>
    <w:rsid w:val="46781735"/>
    <w:rsid w:val="475A18D6"/>
    <w:rsid w:val="48313F3A"/>
    <w:rsid w:val="484437D8"/>
    <w:rsid w:val="48E10BD3"/>
    <w:rsid w:val="48E2305D"/>
    <w:rsid w:val="49503C89"/>
    <w:rsid w:val="4C486ED7"/>
    <w:rsid w:val="4C8B517D"/>
    <w:rsid w:val="4CC10FB0"/>
    <w:rsid w:val="4CF35484"/>
    <w:rsid w:val="4D1A4F4E"/>
    <w:rsid w:val="4D1B1EAB"/>
    <w:rsid w:val="4E55184B"/>
    <w:rsid w:val="4EC369FD"/>
    <w:rsid w:val="4F42516B"/>
    <w:rsid w:val="4FD84141"/>
    <w:rsid w:val="50A5788A"/>
    <w:rsid w:val="50CF0F61"/>
    <w:rsid w:val="517117AD"/>
    <w:rsid w:val="52F26B67"/>
    <w:rsid w:val="56D269DF"/>
    <w:rsid w:val="57A22242"/>
    <w:rsid w:val="595400FE"/>
    <w:rsid w:val="5B742EDF"/>
    <w:rsid w:val="5D2B0D7E"/>
    <w:rsid w:val="5DC326D2"/>
    <w:rsid w:val="605064D7"/>
    <w:rsid w:val="6407782E"/>
    <w:rsid w:val="64C1185A"/>
    <w:rsid w:val="65AE50EA"/>
    <w:rsid w:val="66911D6E"/>
    <w:rsid w:val="66B26063"/>
    <w:rsid w:val="6CD31BF1"/>
    <w:rsid w:val="6F457E7A"/>
    <w:rsid w:val="6FB5010A"/>
    <w:rsid w:val="70966B4A"/>
    <w:rsid w:val="7207002B"/>
    <w:rsid w:val="72117ABF"/>
    <w:rsid w:val="73744AA4"/>
    <w:rsid w:val="737E50BE"/>
    <w:rsid w:val="742E508F"/>
    <w:rsid w:val="74E043DA"/>
    <w:rsid w:val="75B16D6E"/>
    <w:rsid w:val="76204D66"/>
    <w:rsid w:val="77770D2B"/>
    <w:rsid w:val="77C336EE"/>
    <w:rsid w:val="799A3847"/>
    <w:rsid w:val="79AA4CFA"/>
    <w:rsid w:val="7B5D22DF"/>
    <w:rsid w:val="7B9E4BEB"/>
    <w:rsid w:val="7DB97FC2"/>
    <w:rsid w:val="7FA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semiHidden/>
    <w:unhideWhenUsed/>
    <w:qFormat/>
    <w:uiPriority w:val="99"/>
    <w:pPr>
      <w:tabs>
        <w:tab w:val="center" w:pos="4153"/>
        <w:tab w:val="right" w:pos="8306"/>
      </w:tabs>
      <w:snapToGrid w:val="0"/>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character" w:styleId="10">
    <w:name w:val="FollowedHyperlink"/>
    <w:basedOn w:val="8"/>
    <w:unhideWhenUsed/>
    <w:qFormat/>
    <w:uiPriority w:val="99"/>
    <w:rPr>
      <w:color w:val="262626"/>
      <w:sz w:val="18"/>
      <w:szCs w:val="18"/>
      <w:u w:val="none"/>
    </w:rPr>
  </w:style>
  <w:style w:type="character" w:styleId="11">
    <w:name w:val="Hyperlink"/>
    <w:basedOn w:val="8"/>
    <w:unhideWhenUsed/>
    <w:qFormat/>
    <w:uiPriority w:val="99"/>
    <w:rPr>
      <w:color w:val="262626"/>
      <w:sz w:val="18"/>
      <w:szCs w:val="18"/>
      <w:u w:val="none"/>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标题 2 Char"/>
    <w:basedOn w:val="8"/>
    <w:link w:val="3"/>
    <w:qFormat/>
    <w:uiPriority w:val="9"/>
    <w:rPr>
      <w:rFonts w:ascii="宋体" w:hAnsi="宋体" w:eastAsia="宋体" w:cs="宋体"/>
      <w:b/>
      <w:bCs/>
      <w:kern w:val="0"/>
      <w:sz w:val="36"/>
      <w:szCs w:val="36"/>
    </w:r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6">
    <w:name w:val="CM21"/>
    <w:basedOn w:val="15"/>
    <w:next w:val="15"/>
    <w:qFormat/>
    <w:uiPriority w:val="99"/>
    <w:pPr>
      <w:spacing w:after="415"/>
    </w:pPr>
    <w:rPr>
      <w:color w:val="auto"/>
    </w:rPr>
  </w:style>
  <w:style w:type="character" w:customStyle="1" w:styleId="17">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8">
    <w:name w:val="页脚 Char"/>
    <w:basedOn w:val="8"/>
    <w:link w:val="4"/>
    <w:semiHidden/>
    <w:qFormat/>
    <w:uiPriority w:val="99"/>
    <w:rPr>
      <w:rFonts w:asciiTheme="minorHAnsi" w:hAnsiTheme="minorHAnsi" w:eastAsiaTheme="minorEastAsia" w:cstheme="minorBidi"/>
      <w:kern w:val="2"/>
      <w:sz w:val="18"/>
      <w:szCs w:val="18"/>
    </w:rPr>
  </w:style>
  <w:style w:type="paragraph" w:customStyle="1" w:styleId="1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724</Words>
  <Characters>4130</Characters>
  <Lines>34</Lines>
  <Paragraphs>9</Paragraphs>
  <TotalTime>19</TotalTime>
  <ScaleCrop>false</ScaleCrop>
  <LinksUpToDate>false</LinksUpToDate>
  <CharactersWithSpaces>4845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2017-10-11T04:37:00Z</dcterms:created>
  <dc:creator>hp</dc:creator>
  <cp:lastModifiedBy>黄燕</cp:lastModifiedBy>
  <cp:lastPrinted>2017-11-14T02:32:00Z</cp:lastPrinted>
  <dcterms:modified xsi:type="dcterms:W3CDTF">2020-03-30T02:22:08Z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