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</w:rPr>
        <w:t>2017年度</w:t>
      </w:r>
      <w:r>
        <w:rPr>
          <w:rFonts w:hint="eastAsia"/>
          <w:b/>
          <w:sz w:val="36"/>
          <w:szCs w:val="36"/>
          <w:lang w:val="en-US" w:eastAsia="zh-CN"/>
        </w:rPr>
        <w:t>质量工程</w:t>
      </w:r>
      <w:r>
        <w:rPr>
          <w:rFonts w:hint="eastAsia"/>
          <w:b/>
          <w:sz w:val="36"/>
          <w:szCs w:val="36"/>
        </w:rPr>
        <w:t>项目结题验收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和中期检查结果的公示</w:t>
      </w:r>
    </w:p>
    <w:p>
      <w:pPr>
        <w:jc w:val="center"/>
        <w:rPr>
          <w:b/>
          <w:sz w:val="32"/>
          <w:szCs w:val="32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我校2017年度质量工程项目（包括校级项目）结题验收和中期检查工作已经完成，现将项目结题验收和中期检查结果（见附件1、2、3、4）进行公示。各项目负责人按照公示结果及专家意见及时进行整改、修正。</w:t>
      </w:r>
    </w:p>
    <w:p>
      <w:pPr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附件1：2017年度质量工程项目中期检查结果一览表（一）</w:t>
      </w:r>
    </w:p>
    <w:p>
      <w:pPr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附件2：2017年度质量工程项目中期检查结果一览表（二）</w:t>
      </w:r>
    </w:p>
    <w:p>
      <w:pPr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附件3：2017年度质量工程项目结题验收结果一览表（一）</w:t>
      </w:r>
    </w:p>
    <w:p>
      <w:pPr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附件4：2017年度质量工程项目结题验收结果一览表（二）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公示时间：2018.06.11-17</w:t>
      </w:r>
    </w:p>
    <w:p>
      <w:pPr>
        <w:widowControl/>
        <w:spacing w:line="460" w:lineRule="exact"/>
        <w:ind w:firstLine="560" w:firstLineChars="20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联系电话：0551-65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110332</w:t>
      </w:r>
    </w:p>
    <w:p>
      <w:pPr>
        <w:widowControl/>
        <w:spacing w:line="460" w:lineRule="exact"/>
        <w:ind w:firstLine="560" w:firstLineChars="20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460" w:lineRule="exact"/>
        <w:ind w:firstLine="560" w:firstLineChars="20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科研办公室</w:t>
      </w: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2018年6月11日</w:t>
      </w: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ascii="仿宋_GB2312" w:hAnsi="宋体"/>
          <w:b/>
          <w:bCs/>
          <w:spacing w:val="20"/>
          <w:kern w:val="0"/>
          <w:sz w:val="24"/>
          <w:szCs w:val="24"/>
        </w:rPr>
      </w:pPr>
      <w:r>
        <w:rPr>
          <w:rFonts w:hint="eastAsia" w:ascii="仿宋_GB2312" w:hAnsi="宋体"/>
          <w:b/>
          <w:bCs/>
          <w:spacing w:val="20"/>
          <w:kern w:val="0"/>
          <w:sz w:val="24"/>
          <w:szCs w:val="24"/>
        </w:rPr>
        <w:t>附件1：</w:t>
      </w:r>
    </w:p>
    <w:p>
      <w:pPr>
        <w:widowControl/>
        <w:spacing w:line="240" w:lineRule="auto"/>
        <w:jc w:val="center"/>
        <w:rPr>
          <w:rFonts w:asciiTheme="minorEastAsia" w:hAnsiTheme="minorEastAsia" w:cstheme="minorEastAsia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pacing w:val="20"/>
          <w:kern w:val="0"/>
          <w:szCs w:val="21"/>
        </w:rPr>
        <w:t>2017年度质量工程项目中期检查结果一览表（一）</w:t>
      </w:r>
    </w:p>
    <w:tbl>
      <w:tblPr>
        <w:tblStyle w:val="5"/>
        <w:tblW w:w="8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29"/>
        <w:gridCol w:w="1617"/>
        <w:gridCol w:w="2028"/>
        <w:gridCol w:w="992"/>
        <w:gridCol w:w="1276"/>
        <w:gridCol w:w="1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立项时间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结题时间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结 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省级特色专业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广告设计与制作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郭素蓉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2018.11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省级示范实验实训中心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电子商务实训中心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魏丽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2018.11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省级特色（品牌）专业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徐其华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2019.12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省级大规模在线开放课程（MOOC）示范项目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日语入门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刘晓春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2019.12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安徽省教育厅教学研究项目（一般）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高职国际贸易课程教学改革及实践分析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刘丽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2018.12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安徽省教育厅教学研究项目（一般）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传统文化视域下高职思政理论课教育教学探究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亢敏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2018.12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省级校企合作实践教育基地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中澳学院-徽州区农村电子商务校企合作实践教育基地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李艳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2018.12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校级实训平台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PT仿真平台在网络技术专业实训教学中的应用研究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徐济成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2018.08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校级精品课程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外贸跟单实务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沈波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2018.08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校级精品课程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网络安全技术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朱昊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2018.08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校级精品课程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外贸单证实务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刘丽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2018.08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校级专业综合改革研究课题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会计电算化（中澳合作）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卢岩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2017.08</w:t>
            </w:r>
          </w:p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（延期）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校级教育教学研究课题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高校学生党支部目标管理与考评体系研究——以安徽中澳科技职业学院为例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张文佩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2017.08</w:t>
            </w:r>
          </w:p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（延期）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</w:tbl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widowControl/>
        <w:spacing w:line="480" w:lineRule="auto"/>
        <w:jc w:val="left"/>
        <w:rPr>
          <w:rFonts w:ascii="仿宋_GB2312" w:hAnsi="宋体"/>
          <w:b/>
          <w:bCs/>
          <w:spacing w:val="20"/>
          <w:kern w:val="0"/>
          <w:sz w:val="24"/>
          <w:szCs w:val="24"/>
        </w:rPr>
      </w:pPr>
      <w:r>
        <w:rPr>
          <w:rFonts w:hint="eastAsia" w:ascii="仿宋_GB2312" w:hAnsi="宋体"/>
          <w:b/>
          <w:bCs/>
          <w:spacing w:val="20"/>
          <w:kern w:val="0"/>
          <w:sz w:val="24"/>
          <w:szCs w:val="24"/>
        </w:rPr>
        <w:t>附件2：</w:t>
      </w:r>
    </w:p>
    <w:p>
      <w:pPr>
        <w:widowControl/>
        <w:spacing w:line="240" w:lineRule="auto"/>
        <w:jc w:val="center"/>
        <w:rPr>
          <w:rFonts w:asciiTheme="minorEastAsia" w:hAnsiTheme="minorEastAsia" w:cstheme="minorEastAsia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pacing w:val="20"/>
          <w:kern w:val="0"/>
          <w:szCs w:val="21"/>
        </w:rPr>
        <w:t>2017年度质量工程项目中期检查结果一览表（二）</w:t>
      </w:r>
    </w:p>
    <w:tbl>
      <w:tblPr>
        <w:tblStyle w:val="5"/>
        <w:tblW w:w="8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29"/>
        <w:gridCol w:w="1617"/>
        <w:gridCol w:w="2028"/>
        <w:gridCol w:w="992"/>
        <w:gridCol w:w="1276"/>
        <w:gridCol w:w="1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立项时间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结题时间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结 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省级精品视频公开课程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文字设计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郭素蓉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2018.11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省级专业综合改革试点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会计专业综合改革试点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袁礼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2019.12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省级大规模在线开放课程（MOOC）示范项目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中国传统文化选讲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姚明会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2019.12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省级大规模在线开放课程（MOOC）示范项目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瑜伽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褚先云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2019.12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安徽省教育厅教学研究项目（一般）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Packet Tracer在计算机网络课程实训教学中的应用研究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徐济成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2018.12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校级精品课程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陈琳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2018.08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安徽省教育厅教学研究项目（一般）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新媒体环境下高职院校分类招生学生思想政治教育研究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徐健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2018.12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省级示范实验实训中心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国际贸易实训中心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刘丽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2019.12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校级课程改革研究课题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《英语听力》课程改革方案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高英娟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2017.08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（延期）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校级专业建设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航空服务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徐其华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2018.08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校级课程改革研究课题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《网络操作系统》课程改革方案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汪海威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2017.08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（延期）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校级实训平台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虚拟化“云”实训中心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秦楠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2018.08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校级课程改革研究课题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《 综合英语 》课程改革方案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宋丽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2017.08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（延期）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合格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宋体"/>
          <w:b/>
          <w:bCs/>
          <w:spacing w:val="20"/>
          <w:kern w:val="0"/>
          <w:sz w:val="24"/>
          <w:szCs w:val="24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pacing w:line="24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widowControl/>
        <w:spacing w:line="480" w:lineRule="auto"/>
        <w:jc w:val="left"/>
        <w:rPr>
          <w:rFonts w:ascii="仿宋_GB2312" w:hAnsi="宋体"/>
          <w:b/>
          <w:bCs/>
          <w:spacing w:val="20"/>
          <w:kern w:val="0"/>
          <w:sz w:val="24"/>
          <w:szCs w:val="24"/>
        </w:rPr>
      </w:pPr>
      <w:r>
        <w:rPr>
          <w:rFonts w:hint="eastAsia" w:ascii="仿宋_GB2312" w:hAnsi="宋体"/>
          <w:b/>
          <w:bCs/>
          <w:spacing w:val="20"/>
          <w:kern w:val="0"/>
          <w:sz w:val="24"/>
          <w:szCs w:val="24"/>
        </w:rPr>
        <w:t>附件3：</w:t>
      </w:r>
    </w:p>
    <w:p>
      <w:pPr>
        <w:widowControl/>
        <w:shd w:val="clear" w:color="auto" w:fill="FFFFFF"/>
        <w:spacing w:line="240" w:lineRule="auto"/>
        <w:jc w:val="center"/>
        <w:rPr>
          <w:rFonts w:ascii="仿宋_GB2312" w:hAnsi="宋体" w:eastAsia="仿宋_GB2312" w:cs="宋体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pacing w:val="20"/>
          <w:kern w:val="0"/>
          <w:szCs w:val="21"/>
        </w:rPr>
        <w:t>2017年度质量工程项目结题验收结果一览表（一）</w:t>
      </w:r>
    </w:p>
    <w:tbl>
      <w:tblPr>
        <w:tblStyle w:val="5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91"/>
        <w:gridCol w:w="1473"/>
        <w:gridCol w:w="2195"/>
        <w:gridCol w:w="900"/>
        <w:gridCol w:w="1076"/>
        <w:gridCol w:w="10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立项时间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项目类别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负责人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结题时间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主要结论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省级专业综合改革试点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市场营销专业综合改革试点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 浩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2017.12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省级校企合作实践教育基地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“多功能-共享型”国际商贸实训基地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季舒鸿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2017.12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省级校企合作实践教育基地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创新旅游管理专业实践基地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2017.12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省级精品视频公开课程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管理心理学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姚明会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2017.12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省级特色专业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计算机网络技术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汪海威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2017.12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省级精品资源共享课程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Introduction to Business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杨昕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2017.12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省级教学研究重点项目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跨专业资源整合，提升高职学生就业能力的课程设计创新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董蕾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2017.12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校级教育教学研究课题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在创建和谐校园环境下的寝室文化建设之探讨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程荷莲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2017.08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校级教育教学研究课题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利用现代企业理念开辟高职思政第二课堂的实践研究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2017.08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校级课程改革研究课题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《网络营销 》网络化教学改革方案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王蓓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2017.08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校级课程改革研究课题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《三维设计》课程改革与实践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高飞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2017.08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宋体"/>
          <w:b/>
          <w:bCs/>
          <w:spacing w:val="20"/>
          <w:kern w:val="0"/>
          <w:sz w:val="24"/>
          <w:szCs w:val="24"/>
        </w:rPr>
      </w:pPr>
    </w:p>
    <w:p>
      <w:pPr>
        <w:widowControl/>
        <w:spacing w:line="480" w:lineRule="auto"/>
        <w:jc w:val="left"/>
        <w:rPr>
          <w:rFonts w:ascii="仿宋_GB2312" w:hAnsi="宋体"/>
          <w:b/>
          <w:bCs/>
          <w:spacing w:val="20"/>
          <w:kern w:val="0"/>
          <w:sz w:val="24"/>
          <w:szCs w:val="24"/>
        </w:rPr>
      </w:pPr>
    </w:p>
    <w:p>
      <w:pPr>
        <w:widowControl/>
        <w:spacing w:line="480" w:lineRule="auto"/>
        <w:jc w:val="left"/>
        <w:rPr>
          <w:rFonts w:ascii="仿宋_GB2312" w:hAnsi="宋体"/>
          <w:b/>
          <w:bCs/>
          <w:spacing w:val="20"/>
          <w:kern w:val="0"/>
          <w:sz w:val="24"/>
          <w:szCs w:val="24"/>
        </w:rPr>
      </w:pPr>
    </w:p>
    <w:p>
      <w:pPr>
        <w:widowControl/>
        <w:spacing w:line="480" w:lineRule="auto"/>
        <w:jc w:val="left"/>
        <w:rPr>
          <w:rFonts w:ascii="仿宋_GB2312" w:hAnsi="宋体"/>
          <w:b/>
          <w:bCs/>
          <w:spacing w:val="20"/>
          <w:kern w:val="0"/>
          <w:sz w:val="24"/>
          <w:szCs w:val="24"/>
        </w:rPr>
      </w:pPr>
    </w:p>
    <w:p>
      <w:pPr>
        <w:widowControl/>
        <w:spacing w:line="480" w:lineRule="auto"/>
        <w:jc w:val="left"/>
        <w:rPr>
          <w:rFonts w:ascii="仿宋_GB2312" w:hAnsi="宋体"/>
          <w:b/>
          <w:bCs/>
          <w:spacing w:val="20"/>
          <w:kern w:val="0"/>
          <w:sz w:val="24"/>
          <w:szCs w:val="24"/>
        </w:rPr>
      </w:pPr>
    </w:p>
    <w:p>
      <w:pPr>
        <w:widowControl/>
        <w:spacing w:line="480" w:lineRule="auto"/>
        <w:jc w:val="left"/>
        <w:rPr>
          <w:rFonts w:ascii="仿宋_GB2312" w:hAnsi="宋体"/>
          <w:b/>
          <w:bCs/>
          <w:spacing w:val="20"/>
          <w:kern w:val="0"/>
          <w:sz w:val="24"/>
          <w:szCs w:val="24"/>
        </w:rPr>
      </w:pPr>
    </w:p>
    <w:p>
      <w:pPr>
        <w:widowControl/>
        <w:spacing w:line="480" w:lineRule="auto"/>
        <w:jc w:val="left"/>
        <w:rPr>
          <w:rFonts w:ascii="仿宋_GB2312" w:hAnsi="宋体"/>
          <w:b/>
          <w:bCs/>
          <w:spacing w:val="20"/>
          <w:kern w:val="0"/>
          <w:sz w:val="24"/>
          <w:szCs w:val="24"/>
        </w:rPr>
      </w:pPr>
      <w:r>
        <w:rPr>
          <w:rFonts w:hint="eastAsia" w:ascii="仿宋_GB2312" w:hAnsi="宋体"/>
          <w:b/>
          <w:bCs/>
          <w:spacing w:val="20"/>
          <w:kern w:val="0"/>
          <w:sz w:val="24"/>
          <w:szCs w:val="24"/>
        </w:rPr>
        <w:t>附件4：</w:t>
      </w:r>
    </w:p>
    <w:p>
      <w:pPr>
        <w:widowControl/>
        <w:shd w:val="clear" w:color="auto" w:fill="FFFFFF"/>
        <w:spacing w:line="240" w:lineRule="auto"/>
        <w:jc w:val="center"/>
        <w:rPr>
          <w:rFonts w:asciiTheme="minorEastAsia" w:hAnsiTheme="minorEastAsia" w:cstheme="minorEastAsia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pacing w:val="20"/>
          <w:kern w:val="0"/>
          <w:szCs w:val="21"/>
        </w:rPr>
        <w:t>2017年度质量工程项目结题验收结果一览表（二）</w:t>
      </w:r>
    </w:p>
    <w:tbl>
      <w:tblPr>
        <w:tblStyle w:val="5"/>
        <w:tblW w:w="85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05"/>
        <w:gridCol w:w="1522"/>
        <w:gridCol w:w="2057"/>
        <w:gridCol w:w="858"/>
        <w:gridCol w:w="1124"/>
        <w:gridCol w:w="1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立项时间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项目类别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项目名称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负责人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结题时间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主要结论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省级特色专业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软件技术（延期项目）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宋世俊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省级专业综合改革试点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商务管理专业综合改革试点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沙其富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省教育厅教学研究一般项目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基于校企合作的职业英语教学改革研究----以中澳-万豪酒店学院为例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张文佩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省级精品资源共享课程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沙其富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省级教学团队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旅游管理专业教学团队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张莉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省级校企合作实践教育基地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财经类专业“工学一体”创新实践基地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蔡兴怀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省教育厅教学研究一般项目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多维文化视域下的高职英语教学改革研究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朱玫玫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省教育厅教学研究一般项目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后“双证制”背景下外贸职业技能培养模式创新研究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刘丽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校级课程改革研究课题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基于录屏软件的《Photoshop》课程教学方法改革与实践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郭素蓉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2017.08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校级课程改革研究课题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《应用文写作》课程改革方案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汤洪丽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2017.08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校级专业综合改革研究课题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刘丽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2017.08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同意结题</w:t>
            </w:r>
          </w:p>
        </w:tc>
      </w:tr>
    </w:tbl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BA8"/>
    <w:rsid w:val="002B08DC"/>
    <w:rsid w:val="00392398"/>
    <w:rsid w:val="004B55DE"/>
    <w:rsid w:val="005E69F0"/>
    <w:rsid w:val="008F7758"/>
    <w:rsid w:val="00A20BA8"/>
    <w:rsid w:val="00A319BA"/>
    <w:rsid w:val="00B83E25"/>
    <w:rsid w:val="00FF5110"/>
    <w:rsid w:val="0152074F"/>
    <w:rsid w:val="0213697A"/>
    <w:rsid w:val="0C10627C"/>
    <w:rsid w:val="17126C4F"/>
    <w:rsid w:val="1F747148"/>
    <w:rsid w:val="21785442"/>
    <w:rsid w:val="240C60D3"/>
    <w:rsid w:val="37CB0961"/>
    <w:rsid w:val="441F53E1"/>
    <w:rsid w:val="4F8C4307"/>
    <w:rsid w:val="61281E62"/>
    <w:rsid w:val="62044168"/>
    <w:rsid w:val="675C08F0"/>
    <w:rsid w:val="6CC94484"/>
    <w:rsid w:val="71E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451</Words>
  <Characters>2574</Characters>
  <Lines>21</Lines>
  <Paragraphs>6</Paragraphs>
  <ScaleCrop>false</ScaleCrop>
  <LinksUpToDate>false</LinksUpToDate>
  <CharactersWithSpaces>3019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2016-12-12T01:59:00Z</dcterms:created>
  <dc:creator>kouen</dc:creator>
  <cp:lastModifiedBy>瑶池萱草</cp:lastModifiedBy>
  <dcterms:modified xsi:type="dcterms:W3CDTF">2018-06-11T07:45:50Z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