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FF0000"/>
        </w:rPr>
      </w:pPr>
      <w:r>
        <w:rPr>
          <w:b/>
          <w:color w:val="FF0000"/>
        </w:rPr>
        <w:pict>
          <v:shape id="_x0000_i1025" o:spt="136" type="#_x0000_t136" style="height:53.6pt;width:414.4pt;" fillcolor="#FF0000" filled="t" stroked="f" coordsize="21600,21600">
            <v:path/>
            <v:fill on="t" opacity="58982f" focussize="0,0"/>
            <v:stroke on="f"/>
            <v:imagedata o:title=""/>
            <o:lock v:ext="edit"/>
            <v:textpath on="t" fitshape="t" fitpath="t" trim="t" xscale="f" string="安徽中澳科技职业学院文件" style="font-family:宋体;font-size:32pt;font-weight:bold;v-text-align:center;"/>
            <v:shadow on="t" color="#C0C0C0" opacity="52429f" offset2="-2pt,-2pt"/>
            <w10:wrap type="none"/>
            <w10:anchorlock/>
          </v:shape>
        </w:pict>
      </w:r>
    </w:p>
    <w:p>
      <w:pPr>
        <w:jc w:val="center"/>
        <w:rPr>
          <w:b/>
          <w:color w:val="FF0000"/>
        </w:rPr>
      </w:pPr>
      <w: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121285</wp:posOffset>
                </wp:positionV>
                <wp:extent cx="5553075" cy="19050"/>
                <wp:effectExtent l="33655" t="26670" r="52070" b="68580"/>
                <wp:wrapNone/>
                <wp:docPr id="1" name="直接连接符 1"/>
                <wp:cNvGraphicFramePr/>
                <a:graphic xmlns:a="http://schemas.openxmlformats.org/drawingml/2006/main">
                  <a:graphicData uri="http://schemas.microsoft.com/office/word/2010/wordprocessingShape">
                    <wps:wsp>
                      <wps:cNvCnPr/>
                      <wps:spPr>
                        <a:xfrm flipV="1">
                          <a:off x="0" y="0"/>
                          <a:ext cx="5553075" cy="19050"/>
                        </a:xfrm>
                        <a:prstGeom prst="line">
                          <a:avLst/>
                        </a:prstGeom>
                        <a:noFill/>
                        <a:ln w="25400" cap="flat" cmpd="sng" algn="ctr">
                          <a:solidFill>
                            <a:srgbClr val="FF0000"/>
                          </a:solidFill>
                          <a:prstDash val="solid"/>
                        </a:ln>
                        <a:effectLst>
                          <a:outerShdw blurRad="40000" dist="20000" dir="5400000" rotWithShape="0">
                            <a:srgbClr val="000000">
                              <a:alpha val="38000"/>
                            </a:srgbClr>
                          </a:outerShdw>
                        </a:effectLst>
                      </wps:spPr>
                      <wps:bodyPr/>
                    </wps:wsp>
                  </a:graphicData>
                </a:graphic>
              </wp:anchor>
            </w:drawing>
          </mc:Choice>
          <mc:Fallback>
            <w:pict>
              <v:line id="_x0000_s1026" o:spid="_x0000_s1026" o:spt="20" style="position:absolute;left:0pt;flip:y;margin-left:-1.6pt;margin-top:9.55pt;height:1.5pt;width:437.25pt;z-index:251659264;mso-width-relative:page;mso-height-relative:page;" filled="f" stroked="t" coordsize="21600,21600" o:gfxdata="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A4tAodcAAAAIAQAADwAAAAAAAAABACAAAAAiAAAAZHJzL2Rvd25yZXYueG1sUEsB&#10;AhQAFAAAAAgAh07iQPvqXMEvAgAAVQQAAA4AAAAAAAAAAQAgAAAAJgEAAGRycy9lMm9Eb2MueG1s&#10;UEsFBgAAAAAGAAYAWQEAAMcFAAAAAA==&#10;">
                <v:fill on="f" focussize="0,0"/>
                <v:stroke weight="2pt" color="#FF0000" joinstyle="round"/>
                <v:imagedata o:title=""/>
                <o:lock v:ext="edit" aspectratio="f"/>
                <v:shadow on="t" color="#000000" opacity="24903f" offset="0pt,1.5748031496063pt" origin="0f,32768f" matrix="65536f,0f,0f,65536f"/>
              </v:line>
            </w:pict>
          </mc:Fallback>
        </mc:AlternateContent>
      </w:r>
    </w:p>
    <w:p>
      <w:pPr>
        <w:jc w:val="center"/>
        <w:rPr>
          <w:b/>
          <w:color w:val="FF0000"/>
        </w:rPr>
      </w:pPr>
    </w:p>
    <w:p>
      <w:pPr>
        <w:ind w:firstLine="315" w:firstLineChars="98"/>
        <w:jc w:val="center"/>
        <w:rPr>
          <w:rFonts w:ascii="楷体_GB2312" w:eastAsia="楷体_GB2312"/>
          <w:b/>
          <w:sz w:val="32"/>
          <w:szCs w:val="28"/>
        </w:rPr>
      </w:pPr>
      <w:r>
        <w:rPr>
          <w:rFonts w:hint="eastAsia" w:ascii="楷体" w:hAnsi="楷体" w:eastAsia="楷体"/>
          <w:b/>
          <w:bCs/>
          <w:sz w:val="32"/>
          <w:szCs w:val="32"/>
          <w:shd w:val="clear" w:color="auto" w:fill="FFFFFF"/>
        </w:rPr>
        <w:t xml:space="preserve">  </w:t>
      </w:r>
      <w:r>
        <w:rPr>
          <w:rFonts w:hint="eastAsia" w:ascii="楷体_GB2312" w:eastAsia="楷体_GB2312"/>
          <w:b/>
          <w:sz w:val="32"/>
          <w:szCs w:val="28"/>
        </w:rPr>
        <w:t>实验实训字〔2022〕1</w:t>
      </w:r>
      <w:r>
        <w:rPr>
          <w:rFonts w:hint="eastAsia" w:ascii="楷体_GB2312" w:eastAsia="楷体_GB2312"/>
          <w:b/>
          <w:sz w:val="32"/>
          <w:szCs w:val="28"/>
          <w:lang w:val="en-US" w:eastAsia="zh-CN"/>
        </w:rPr>
        <w:t>2</w:t>
      </w:r>
      <w:r>
        <w:rPr>
          <w:rFonts w:hint="eastAsia" w:ascii="楷体_GB2312" w:eastAsia="楷体_GB2312"/>
          <w:b/>
          <w:sz w:val="32"/>
          <w:szCs w:val="28"/>
        </w:rPr>
        <w:t>号</w:t>
      </w:r>
    </w:p>
    <w:p>
      <w:pPr>
        <w:pStyle w:val="2"/>
        <w:keepNext w:val="0"/>
        <w:keepLines w:val="0"/>
        <w:pageBreakBefore w:val="0"/>
        <w:widowControl/>
        <w:kinsoku/>
        <w:wordWrap/>
        <w:overflowPunct/>
        <w:topLinePunct w:val="0"/>
        <w:autoSpaceDE/>
        <w:autoSpaceDN/>
        <w:bidi w:val="0"/>
        <w:spacing w:line="480" w:lineRule="exact"/>
        <w:jc w:val="center"/>
        <w:textAlignment w:val="auto"/>
        <w:rPr>
          <w:rFonts w:hint="eastAsia" w:ascii="方正小标宋_GBK" w:hAnsi="微软雅黑" w:eastAsia="方正小标宋_GBK"/>
          <w:b/>
          <w:bCs/>
          <w:color w:val="000000"/>
          <w:sz w:val="44"/>
          <w:szCs w:val="44"/>
        </w:rPr>
      </w:pPr>
      <w:r>
        <w:rPr>
          <w:rStyle w:val="5"/>
          <w:rFonts w:hint="eastAsia" w:ascii="方正仿宋_GBK" w:hAnsi="微软雅黑" w:eastAsia="方正仿宋_GBK"/>
          <w:b/>
          <w:bCs/>
          <w:color w:val="000000"/>
          <w:sz w:val="44"/>
          <w:szCs w:val="44"/>
        </w:rPr>
        <w:t> </w:t>
      </w:r>
      <w:r>
        <w:rPr>
          <w:rFonts w:hint="eastAsia" w:ascii="方正小标宋_GBK" w:hAnsi="微软雅黑" w:eastAsia="方正小标宋_GBK"/>
          <w:b/>
          <w:bCs/>
          <w:color w:val="000000"/>
          <w:sz w:val="44"/>
          <w:szCs w:val="44"/>
        </w:rPr>
        <w:t>关于20</w:t>
      </w:r>
      <w:r>
        <w:rPr>
          <w:rFonts w:hint="eastAsia" w:ascii="方正小标宋_GBK" w:hAnsi="微软雅黑" w:eastAsia="方正小标宋_GBK"/>
          <w:b/>
          <w:bCs/>
          <w:color w:val="000000"/>
          <w:sz w:val="44"/>
          <w:szCs w:val="44"/>
          <w:lang w:val="en-US" w:eastAsia="zh-CN"/>
        </w:rPr>
        <w:t>22</w:t>
      </w:r>
      <w:r>
        <w:rPr>
          <w:rFonts w:hint="eastAsia" w:ascii="方正小标宋_GBK" w:hAnsi="微软雅黑" w:eastAsia="方正小标宋_GBK"/>
          <w:b/>
          <w:bCs/>
          <w:color w:val="000000"/>
          <w:sz w:val="44"/>
          <w:szCs w:val="44"/>
        </w:rPr>
        <w:t>年度</w:t>
      </w:r>
      <w:r>
        <w:rPr>
          <w:rFonts w:hint="eastAsia" w:ascii="方正小标宋_GBK" w:hAnsi="微软雅黑" w:eastAsia="方正小标宋_GBK"/>
          <w:b/>
          <w:bCs/>
          <w:color w:val="000000"/>
          <w:sz w:val="44"/>
          <w:szCs w:val="44"/>
          <w:lang w:eastAsia="zh-CN"/>
        </w:rPr>
        <w:t>学院省级</w:t>
      </w:r>
      <w:r>
        <w:rPr>
          <w:rFonts w:hint="eastAsia" w:ascii="方正小标宋_GBK" w:hAnsi="微软雅黑" w:eastAsia="方正小标宋_GBK"/>
          <w:b/>
          <w:bCs/>
          <w:color w:val="000000"/>
          <w:sz w:val="44"/>
          <w:szCs w:val="44"/>
        </w:rPr>
        <w:t>质量工程项目</w:t>
      </w:r>
    </w:p>
    <w:p>
      <w:pPr>
        <w:pStyle w:val="2"/>
        <w:keepNext w:val="0"/>
        <w:keepLines w:val="0"/>
        <w:pageBreakBefore w:val="0"/>
        <w:widowControl/>
        <w:kinsoku/>
        <w:wordWrap/>
        <w:overflowPunct/>
        <w:topLinePunct w:val="0"/>
        <w:autoSpaceDE/>
        <w:autoSpaceDN/>
        <w:bidi w:val="0"/>
        <w:spacing w:line="480" w:lineRule="exact"/>
        <w:jc w:val="center"/>
        <w:textAlignment w:val="auto"/>
        <w:rPr>
          <w:rStyle w:val="5"/>
          <w:rFonts w:ascii="Times New Roman" w:hAnsi="Times New Roman" w:eastAsia="微软雅黑" w:cs="Times New Roman"/>
          <w:color w:val="000000"/>
          <w:sz w:val="24"/>
          <w:szCs w:val="24"/>
        </w:rPr>
      </w:pPr>
      <w:r>
        <w:rPr>
          <w:rFonts w:hint="eastAsia" w:ascii="方正小标宋_GBK" w:hAnsi="微软雅黑" w:eastAsia="方正小标宋_GBK"/>
          <w:b/>
          <w:bCs/>
          <w:color w:val="000000"/>
          <w:sz w:val="44"/>
          <w:szCs w:val="44"/>
        </w:rPr>
        <w:t>申报工作的通知</w:t>
      </w:r>
    </w:p>
    <w:p>
      <w:pPr>
        <w:keepNext w:val="0"/>
        <w:keepLines w:val="0"/>
        <w:pageBreakBefore w:val="0"/>
        <w:widowControl/>
        <w:kinsoku/>
        <w:wordWrap/>
        <w:overflowPunct/>
        <w:topLinePunct w:val="0"/>
        <w:autoSpaceDE/>
        <w:autoSpaceDN/>
        <w:bidi w:val="0"/>
        <w:spacing w:line="480" w:lineRule="exact"/>
        <w:jc w:val="left"/>
        <w:textAlignment w:val="auto"/>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24"/>
          <w:szCs w:val="24"/>
          <w:highlight w:val="none"/>
          <w:lang w:val="en-US" w:eastAsia="zh-CN" w:bidi="ar-SA"/>
        </w:rPr>
        <w:t>各系部、处室</w:t>
      </w:r>
      <w:r>
        <w:rPr>
          <w:rFonts w:hint="eastAsia" w:ascii="宋体" w:hAnsi="宋体" w:eastAsia="宋体" w:cs="宋体"/>
          <w:color w:val="auto"/>
          <w:kern w:val="0"/>
          <w:sz w:val="36"/>
          <w:szCs w:val="36"/>
          <w:highlight w:val="none"/>
        </w:rPr>
        <w:t>：</w:t>
      </w:r>
    </w:p>
    <w:p>
      <w:pPr>
        <w:pStyle w:val="2"/>
        <w:keepNext w:val="0"/>
        <w:keepLines w:val="0"/>
        <w:pageBreakBefore w:val="0"/>
        <w:widowControl/>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根据《安徽省教育厅关于做好2022年度高等学校质量工程项目申报工作的通知》（皖教秘高</w:t>
      </w:r>
      <w:r>
        <w:rPr>
          <w:rFonts w:hint="eastAsia" w:ascii="宋体" w:hAnsi="宋体" w:eastAsia="宋体" w:cs="宋体"/>
          <w:color w:val="000000"/>
          <w:kern w:val="0"/>
          <w:szCs w:val="32"/>
          <w:shd w:val="clear" w:color="auto" w:fill="FFFFFF"/>
        </w:rPr>
        <w:t>〔202</w:t>
      </w:r>
      <w:r>
        <w:rPr>
          <w:rFonts w:hint="eastAsia" w:ascii="宋体" w:hAnsi="宋体" w:eastAsia="宋体" w:cs="宋体"/>
          <w:color w:val="000000"/>
          <w:kern w:val="0"/>
          <w:szCs w:val="32"/>
          <w:shd w:val="clear" w:color="auto" w:fill="FFFFFF"/>
          <w:lang w:val="en-US" w:eastAsia="zh-CN"/>
        </w:rPr>
        <w:t>2</w:t>
      </w:r>
      <w:r>
        <w:rPr>
          <w:rFonts w:hint="eastAsia" w:ascii="宋体" w:hAnsi="宋体" w:eastAsia="宋体" w:cs="宋体"/>
          <w:color w:val="000000"/>
          <w:kern w:val="0"/>
          <w:szCs w:val="32"/>
          <w:shd w:val="clear" w:color="auto" w:fill="FFFFFF"/>
        </w:rPr>
        <w:t>〕</w:t>
      </w:r>
      <w:r>
        <w:rPr>
          <w:rFonts w:hint="eastAsia" w:ascii="宋体" w:hAnsi="宋体" w:eastAsia="宋体" w:cs="宋体"/>
          <w:color w:val="000000"/>
          <w:kern w:val="0"/>
          <w:szCs w:val="32"/>
          <w:shd w:val="clear" w:color="auto" w:fill="FFFFFF"/>
          <w:lang w:val="en-US" w:eastAsia="zh-CN"/>
        </w:rPr>
        <w:t>205</w:t>
      </w:r>
      <w:r>
        <w:rPr>
          <w:rFonts w:hint="eastAsia" w:ascii="宋体" w:hAnsi="宋体" w:eastAsia="宋体" w:cs="宋体"/>
          <w:color w:val="auto"/>
          <w:kern w:val="0"/>
          <w:sz w:val="24"/>
          <w:szCs w:val="24"/>
          <w:highlight w:val="none"/>
          <w:lang w:val="en-US" w:eastAsia="zh-CN" w:bidi="ar-SA"/>
        </w:rPr>
        <w:t>）要求，落实《教育部和安徽省人民政府推动结构优化建设高质量高等教育体系共同行动方案》、《职业教育提质培优行动计划（2020-2023）》和《教育部安徽省人民政府关于整省推进职业教育一体化高质量发展加快技能安徽建设的意见》等文件要求，经研究决定开展我院2022年度高等学校质量工程项目申报工作。现就有关事项通知如下：</w:t>
      </w:r>
    </w:p>
    <w:p>
      <w:pPr>
        <w:pStyle w:val="2"/>
        <w:keepNext w:val="0"/>
        <w:keepLines w:val="0"/>
        <w:pageBreakBefore w:val="0"/>
        <w:widowControl/>
        <w:numPr>
          <w:ilvl w:val="0"/>
          <w:numId w:val="1"/>
        </w:numPr>
        <w:kinsoku/>
        <w:wordWrap/>
        <w:overflowPunct/>
        <w:topLinePunct w:val="0"/>
        <w:autoSpaceDE/>
        <w:autoSpaceDN/>
        <w:bidi w:val="0"/>
        <w:spacing w:line="480" w:lineRule="exact"/>
        <w:ind w:firstLine="480" w:firstLineChars="200"/>
        <w:jc w:val="left"/>
        <w:textAlignment w:val="auto"/>
        <w:rPr>
          <w:rFonts w:hint="eastAsia" w:ascii="方正仿宋_GBK" w:hAnsi="方正仿宋_GBK" w:cs="方正仿宋_GBK" w:eastAsiaTheme="minorEastAsia"/>
          <w:color w:val="auto"/>
          <w:kern w:val="0"/>
          <w:sz w:val="24"/>
          <w:szCs w:val="24"/>
          <w:highlight w:val="none"/>
          <w:lang w:val="en-US" w:eastAsia="zh-CN" w:bidi="ar-SA"/>
        </w:rPr>
      </w:pPr>
      <w:r>
        <w:rPr>
          <w:rFonts w:hint="eastAsia" w:ascii="方正仿宋_GBK" w:hAnsi="方正仿宋_GBK" w:cs="方正仿宋_GBK" w:eastAsiaTheme="minorEastAsia"/>
          <w:color w:val="auto"/>
          <w:kern w:val="0"/>
          <w:sz w:val="24"/>
          <w:szCs w:val="24"/>
          <w:highlight w:val="none"/>
          <w:lang w:val="en-US" w:eastAsia="zh-CN" w:bidi="ar-SA"/>
        </w:rPr>
        <w:t>我院2022年度申报省级质量工程项目类别、限额及拟资助经费。</w:t>
      </w:r>
    </w:p>
    <w:tbl>
      <w:tblPr>
        <w:tblStyle w:val="3"/>
        <w:tblW w:w="83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8"/>
        <w:gridCol w:w="1005"/>
        <w:gridCol w:w="2153"/>
        <w:gridCol w:w="1335"/>
        <w:gridCol w:w="1807"/>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类别</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项目名称</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拟立项数</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资助经费</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建设周期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2"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专业类</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特色高水平专业</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8万</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专业教学资源库</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8万</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课程类</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精品课程</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4万</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方正仿宋_GBK" w:hAnsi="方正仿宋_GBK" w:cs="方正仿宋_GBK"/>
                <w:color w:val="000000"/>
                <w:kern w:val="0"/>
                <w:szCs w:val="36"/>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示范金课</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6万</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方正仿宋_GBK" w:hAnsi="方正仿宋_GBK" w:cs="方正仿宋_GBK"/>
                <w:color w:val="000000"/>
                <w:kern w:val="0"/>
                <w:szCs w:val="36"/>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5</w:t>
            </w: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课程思政示范课程</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1万</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方正仿宋_GBK" w:hAnsi="方正仿宋_GBK" w:cs="方正仿宋_GBK"/>
                <w:color w:val="000000"/>
                <w:kern w:val="0"/>
                <w:szCs w:val="36"/>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w:t>
            </w: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高水平教材</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5万</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方正仿宋_GBK" w:hAnsi="方正仿宋_GBK" w:cs="方正仿宋_GBK"/>
                <w:color w:val="000000"/>
                <w:kern w:val="0"/>
                <w:szCs w:val="36"/>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7</w:t>
            </w:r>
          </w:p>
        </w:tc>
        <w:tc>
          <w:tcPr>
            <w:tcW w:w="10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师资类</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教学创新团队</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3万</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方正仿宋_GBK" w:hAnsi="方正仿宋_GBK" w:cs="方正仿宋_GBK"/>
                <w:color w:val="000000"/>
                <w:kern w:val="0"/>
                <w:szCs w:val="36"/>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8</w:t>
            </w:r>
          </w:p>
        </w:tc>
        <w:tc>
          <w:tcPr>
            <w:tcW w:w="100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技能大师工作室</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5万</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cs="方正仿宋_GBK"/>
                <w:color w:val="000000"/>
                <w:kern w:val="0"/>
                <w:szCs w:val="36"/>
              </w:rPr>
            </w:pPr>
            <w:r>
              <w:rPr>
                <w:rFonts w:hint="eastAsia" w:ascii="方正仿宋_GBK" w:hAnsi="方正仿宋_GBK" w:cs="方正仿宋_GBK"/>
                <w:color w:val="000000"/>
                <w:kern w:val="0"/>
                <w:szCs w:val="36"/>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9</w:t>
            </w:r>
          </w:p>
        </w:tc>
        <w:tc>
          <w:tcPr>
            <w:tcW w:w="100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教学名师</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0.2万</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cs="方正仿宋_GBK"/>
                <w:color w:val="000000"/>
                <w:kern w:val="0"/>
                <w:szCs w:val="36"/>
              </w:rPr>
            </w:pPr>
            <w:r>
              <w:rPr>
                <w:rFonts w:hint="eastAsia" w:ascii="方正仿宋_GBK" w:hAnsi="方正仿宋_GBK" w:cs="方正仿宋_GBK"/>
                <w:color w:val="000000"/>
                <w:kern w:val="0"/>
                <w:szCs w:val="36"/>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10</w:t>
            </w:r>
          </w:p>
        </w:tc>
        <w:tc>
          <w:tcPr>
            <w:tcW w:w="100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教坛新秀</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2-3</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0.1万</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方正仿宋_GBK" w:hAnsi="方正仿宋_GBK" w:cs="方正仿宋_GBK"/>
                <w:color w:val="000000"/>
                <w:kern w:val="0"/>
                <w:szCs w:val="36"/>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11</w:t>
            </w:r>
          </w:p>
        </w:tc>
        <w:tc>
          <w:tcPr>
            <w:tcW w:w="100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实训类</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产教融合实训基地</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方正仿宋_GBK" w:hAnsi="方正仿宋_GBK" w:cs="方正仿宋_GBK"/>
                <w:color w:val="000000"/>
                <w:kern w:val="0"/>
                <w:szCs w:val="36"/>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教学研究项目</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重点0.8万；一般0.4万</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方正仿宋_GBK" w:hAnsi="方正仿宋_GBK" w:cs="方正仿宋_GBK"/>
                <w:color w:val="000000"/>
                <w:kern w:val="0"/>
                <w:szCs w:val="36"/>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思想政治理论课教研项目</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重点0.8万；一般0.4万</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cs="方正仿宋_GBK"/>
                <w:color w:val="000000"/>
                <w:kern w:val="0"/>
                <w:szCs w:val="36"/>
              </w:rPr>
            </w:pPr>
            <w:r>
              <w:rPr>
                <w:rFonts w:hint="eastAsia" w:ascii="方正仿宋_GBK" w:hAnsi="方正仿宋_GBK" w:cs="方正仿宋_GBK"/>
                <w:color w:val="000000"/>
                <w:kern w:val="0"/>
                <w:szCs w:val="36"/>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14</w:t>
            </w:r>
          </w:p>
        </w:tc>
        <w:tc>
          <w:tcPr>
            <w:tcW w:w="10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改革示范类</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中国特色现代学徒制</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8万</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方正仿宋_GBK" w:hAnsi="方正仿宋_GBK" w:cs="方正仿宋_GBK"/>
                <w:color w:val="000000"/>
                <w:kern w:val="0"/>
                <w:szCs w:val="36"/>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15</w:t>
            </w:r>
          </w:p>
        </w:tc>
        <w:tc>
          <w:tcPr>
            <w:tcW w:w="100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产业学院</w:t>
            </w:r>
          </w:p>
        </w:tc>
        <w:tc>
          <w:tcPr>
            <w:tcW w:w="133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8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8万</w:t>
            </w:r>
          </w:p>
        </w:tc>
        <w:tc>
          <w:tcPr>
            <w:tcW w:w="129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方正仿宋_GBK" w:hAnsi="方正仿宋_GBK" w:cs="方正仿宋_GBK"/>
                <w:color w:val="000000"/>
                <w:kern w:val="0"/>
                <w:szCs w:val="36"/>
              </w:rPr>
            </w:pPr>
            <w:r>
              <w:rPr>
                <w:rFonts w:hint="eastAsia" w:ascii="方正仿宋_GBK" w:hAnsi="方正仿宋_GBK" w:cs="方正仿宋_GBK"/>
                <w:color w:val="000000"/>
                <w:kern w:val="0"/>
                <w:szCs w:val="36"/>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16</w:t>
            </w:r>
          </w:p>
        </w:tc>
        <w:tc>
          <w:tcPr>
            <w:tcW w:w="100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知名工匠培养基地</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8万</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cs="方正仿宋_GBK"/>
                <w:color w:val="000000"/>
                <w:kern w:val="0"/>
                <w:szCs w:val="36"/>
              </w:rPr>
            </w:pPr>
            <w:r>
              <w:rPr>
                <w:rFonts w:hint="eastAsia" w:ascii="方正仿宋_GBK" w:hAnsi="方正仿宋_GBK" w:cs="方正仿宋_GBK"/>
                <w:color w:val="000000"/>
                <w:kern w:val="0"/>
                <w:szCs w:val="36"/>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17</w:t>
            </w:r>
          </w:p>
        </w:tc>
        <w:tc>
          <w:tcPr>
            <w:tcW w:w="1005"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安徽省“三教”改革示范校</w:t>
            </w:r>
          </w:p>
        </w:tc>
        <w:tc>
          <w:tcPr>
            <w:tcW w:w="133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8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10万</w:t>
            </w:r>
            <w:bookmarkStart w:id="0" w:name="_GoBack"/>
            <w:bookmarkEnd w:id="0"/>
          </w:p>
        </w:tc>
        <w:tc>
          <w:tcPr>
            <w:tcW w:w="129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方正仿宋_GBK" w:hAnsi="方正仿宋_GBK" w:cs="方正仿宋_GBK"/>
                <w:color w:val="000000"/>
                <w:kern w:val="0"/>
                <w:szCs w:val="36"/>
              </w:rPr>
            </w:pPr>
            <w:r>
              <w:rPr>
                <w:rFonts w:hint="eastAsia" w:ascii="方正仿宋_GBK" w:hAnsi="方正仿宋_GBK" w:cs="方正仿宋_GBK"/>
                <w:color w:val="000000"/>
                <w:kern w:val="0"/>
                <w:szCs w:val="36"/>
              </w:rPr>
              <w:t>2年</w:t>
            </w:r>
          </w:p>
        </w:tc>
      </w:tr>
    </w:tbl>
    <w:p>
      <w:pPr>
        <w:pStyle w:val="2"/>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方正仿宋_GBK" w:hAnsi="方正仿宋_GBK" w:cs="方正仿宋_GBK" w:eastAsiaTheme="minorEastAsia"/>
          <w:color w:val="auto"/>
          <w:kern w:val="0"/>
          <w:sz w:val="24"/>
          <w:szCs w:val="24"/>
          <w:highlight w:val="none"/>
          <w:lang w:val="en-US" w:eastAsia="zh-CN" w:bidi="ar-SA"/>
        </w:rPr>
        <w:t>2、各类项目申报范围及条件见我院省级质量工程项目申报指南，省教育厅组织专家对各高校申报项目进行整体性和合规性审核，竞争性项目由省教育厅组织专家在学校推荐的基础上进行统一评审，经省级公示无异议，对学校项目进行整体立项。以往省级质量工程建设终止或撤项的项目负责人将被纳入质量工程管理系统“黑名单”。对就业率低、招生困难的专业原则上不安排质量工程项目，</w:t>
      </w:r>
      <w:r>
        <w:rPr>
          <w:rFonts w:hint="eastAsia" w:ascii="宋体" w:hAnsi="宋体" w:eastAsia="宋体" w:cs="宋体"/>
          <w:color w:val="auto"/>
          <w:kern w:val="0"/>
          <w:sz w:val="24"/>
          <w:szCs w:val="24"/>
          <w:highlight w:val="none"/>
          <w:lang w:val="en-US" w:eastAsia="zh-CN" w:bidi="ar-SA"/>
        </w:rPr>
        <w:t>学院须在申报文件中分别说明本校就业率及报考率排名后10%的专业。已在省级质量工程中立项的项目，不得重复申报同类型项目，一经查实，将取消申报资格。</w:t>
      </w:r>
    </w:p>
    <w:p>
      <w:pPr>
        <w:pStyle w:val="2"/>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3、各系部在组织申报时，应对标对表项目申报指南，严格落实相关要求：</w:t>
      </w:r>
    </w:p>
    <w:p>
      <w:pPr>
        <w:pStyle w:val="2"/>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（1）严格把关项目内容，杜绝重复申报，其中课程建设类项目，同一专业同一门课程不得重复申报同类项目。 </w:t>
      </w:r>
    </w:p>
    <w:p>
      <w:pPr>
        <w:pStyle w:val="2"/>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（2）项目负责人同一年度申报项目不得超过 2 项。 </w:t>
      </w:r>
    </w:p>
    <w:p>
      <w:pPr>
        <w:pStyle w:val="2"/>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（3）在研省级质量工程项目超过 2 项（含 2 项）的项目负责人，不得申报本年度质量工程项目。 </w:t>
      </w:r>
    </w:p>
    <w:p>
      <w:pPr>
        <w:pStyle w:val="2"/>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cs="方正仿宋_GBK" w:eastAsiaTheme="minorEastAsia"/>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（4）项目负责人有 1 项在研项目，本年度最多只能申报 1 项；近 2 年有延期项目的，不得申报本年度质量工程项目；近 3 年有撤项项目的，不得申报本年度质量工程项目。</w:t>
      </w:r>
    </w:p>
    <w:p>
      <w:pPr>
        <w:pStyle w:val="2"/>
        <w:keepNext w:val="0"/>
        <w:keepLines w:val="0"/>
        <w:pageBreakBefore w:val="0"/>
        <w:widowControl/>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cs="方正仿宋_GBK" w:eastAsiaTheme="minorEastAsia"/>
          <w:color w:val="auto"/>
          <w:kern w:val="0"/>
          <w:sz w:val="24"/>
          <w:szCs w:val="24"/>
          <w:highlight w:val="none"/>
          <w:lang w:val="en-US" w:eastAsia="zh-CN" w:bidi="ar-SA"/>
        </w:rPr>
      </w:pPr>
      <w:r>
        <w:rPr>
          <w:rFonts w:hint="eastAsia" w:ascii="方正仿宋_GBK" w:hAnsi="方正仿宋_GBK" w:cs="方正仿宋_GBK" w:eastAsiaTheme="minorEastAsia"/>
          <w:color w:val="auto"/>
          <w:kern w:val="0"/>
          <w:sz w:val="24"/>
          <w:szCs w:val="24"/>
          <w:highlight w:val="none"/>
          <w:lang w:val="en-US" w:eastAsia="zh-CN" w:bidi="ar-SA"/>
        </w:rPr>
        <w:t>4、申报材料：本次项目实行无纸化申报。自2022年12月5日起，通过学院组织的评审后，各项目负责人从省教育厅高教处网（http://jyt.ah.gov.cn/gaojiaochu）登录“安徽省高等学校质量工程项目管理信息系统”，按规定的程序和方法填报项目申请书。各项目负责人应参照《2022年度省级质量工程项目形式审查规范》填写项目名称，填写不规范的视为形式审查不合格。学校在履行网络推荐程序后，系统自动生成申报项目汇总表。学院</w:t>
      </w:r>
      <w:r>
        <w:rPr>
          <w:rFonts w:hint="default" w:ascii="方正仿宋_GBK" w:hAnsi="方正仿宋_GBK" w:cs="方正仿宋_GBK" w:eastAsiaTheme="minorEastAsia"/>
          <w:color w:val="auto"/>
          <w:kern w:val="0"/>
          <w:sz w:val="24"/>
          <w:szCs w:val="24"/>
          <w:highlight w:val="none"/>
          <w:lang w:val="en-US" w:eastAsia="zh-CN" w:bidi="ar-SA"/>
        </w:rPr>
        <w:t>将推荐公文和由系统自动生成的申报项目汇总表（自行编辑无效）盖章扫描后上传系统，纸质版材料无需报送。</w:t>
      </w:r>
    </w:p>
    <w:p>
      <w:pPr>
        <w:pStyle w:val="2"/>
        <w:keepNext w:val="0"/>
        <w:keepLines w:val="0"/>
        <w:pageBreakBefore w:val="0"/>
        <w:widowControl/>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default" w:ascii="方正仿宋_GBK" w:hAnsi="方正仿宋_GBK" w:cs="方正仿宋_GBK" w:eastAsiaTheme="minorEastAsia"/>
          <w:color w:val="auto"/>
          <w:kern w:val="0"/>
          <w:sz w:val="24"/>
          <w:szCs w:val="24"/>
          <w:highlight w:val="none"/>
          <w:lang w:val="en-US" w:eastAsia="zh-CN" w:bidi="ar-SA"/>
        </w:rPr>
      </w:pPr>
      <w:r>
        <w:rPr>
          <w:rFonts w:hint="eastAsia" w:ascii="方正仿宋_GBK" w:hAnsi="方正仿宋_GBK" w:cs="方正仿宋_GBK" w:eastAsiaTheme="minorEastAsia"/>
          <w:color w:val="auto"/>
          <w:kern w:val="0"/>
          <w:sz w:val="24"/>
          <w:szCs w:val="24"/>
          <w:highlight w:val="none"/>
          <w:lang w:val="en-US" w:eastAsia="zh-CN" w:bidi="ar-SA"/>
        </w:rPr>
        <w:t>5、申报时间：电子版项目申报书提交实验实训中心截止时间为12月19日下午</w:t>
      </w:r>
      <w:r>
        <w:rPr>
          <w:rFonts w:hint="default" w:ascii="方正仿宋_GBK" w:hAnsi="方正仿宋_GBK" w:cs="方正仿宋_GBK" w:eastAsiaTheme="minorEastAsia"/>
          <w:color w:val="auto"/>
          <w:kern w:val="0"/>
          <w:sz w:val="24"/>
          <w:szCs w:val="24"/>
          <w:highlight w:val="none"/>
          <w:lang w:val="en-US" w:eastAsia="zh-CN" w:bidi="ar-SA"/>
        </w:rPr>
        <w:t>1</w:t>
      </w:r>
      <w:r>
        <w:rPr>
          <w:rFonts w:hint="eastAsia" w:ascii="方正仿宋_GBK" w:hAnsi="方正仿宋_GBK" w:cs="方正仿宋_GBK" w:eastAsiaTheme="minorEastAsia"/>
          <w:color w:val="auto"/>
          <w:kern w:val="0"/>
          <w:sz w:val="24"/>
          <w:szCs w:val="24"/>
          <w:highlight w:val="none"/>
          <w:lang w:val="en-US" w:eastAsia="zh-CN" w:bidi="ar-SA"/>
        </w:rPr>
        <w:t>7</w:t>
      </w:r>
      <w:r>
        <w:rPr>
          <w:rFonts w:hint="default" w:ascii="方正仿宋_GBK" w:hAnsi="方正仿宋_GBK" w:cs="方正仿宋_GBK" w:eastAsiaTheme="minorEastAsia"/>
          <w:color w:val="auto"/>
          <w:kern w:val="0"/>
          <w:sz w:val="24"/>
          <w:szCs w:val="24"/>
          <w:highlight w:val="none"/>
          <w:lang w:val="en-US" w:eastAsia="zh-CN" w:bidi="ar-SA"/>
        </w:rPr>
        <w:t>:00</w:t>
      </w:r>
      <w:r>
        <w:rPr>
          <w:rFonts w:hint="eastAsia" w:ascii="方正仿宋_GBK" w:hAnsi="方正仿宋_GBK" w:cs="方正仿宋_GBK" w:eastAsiaTheme="minorEastAsia"/>
          <w:color w:val="auto"/>
          <w:kern w:val="0"/>
          <w:sz w:val="24"/>
          <w:szCs w:val="24"/>
          <w:highlight w:val="none"/>
          <w:lang w:val="en-US" w:eastAsia="zh-CN" w:bidi="ar-SA"/>
        </w:rPr>
        <w:t>前，逾期不再受理</w:t>
      </w:r>
      <w:r>
        <w:rPr>
          <w:rFonts w:hint="default" w:ascii="方正仿宋_GBK" w:hAnsi="方正仿宋_GBK" w:cs="方正仿宋_GBK" w:eastAsiaTheme="minorEastAsia"/>
          <w:color w:val="auto"/>
          <w:kern w:val="0"/>
          <w:sz w:val="24"/>
          <w:szCs w:val="24"/>
          <w:highlight w:val="none"/>
          <w:lang w:val="en-US" w:eastAsia="zh-CN" w:bidi="ar-SA"/>
        </w:rPr>
        <w:t>。</w:t>
      </w:r>
    </w:p>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420" w:firstLineChars="200"/>
        <w:jc w:val="both"/>
        <w:textAlignment w:val="auto"/>
        <w:outlineLvl w:val="9"/>
        <w:rPr>
          <w:rFonts w:hint="eastAsia" w:ascii="方正仿宋_GBK" w:hAnsi="方正仿宋_GBK" w:cs="方正仿宋_GBK"/>
          <w:color w:val="auto"/>
          <w:kern w:val="0"/>
          <w:szCs w:val="36"/>
          <w:highlight w:val="none"/>
          <w:lang w:val="en-US" w:eastAsia="zh-CN"/>
        </w:rPr>
      </w:pPr>
      <w:r>
        <w:rPr>
          <w:rFonts w:hint="eastAsia" w:ascii="方正仿宋_GBK" w:hAnsi="方正仿宋_GBK" w:cs="方正仿宋_GBK"/>
          <w:color w:val="auto"/>
          <w:kern w:val="0"/>
          <w:szCs w:val="36"/>
          <w:highlight w:val="none"/>
          <w:lang w:val="en-US" w:eastAsia="zh-CN"/>
        </w:rPr>
        <w:fldChar w:fldCharType="begin"/>
      </w:r>
      <w:r>
        <w:rPr>
          <w:rFonts w:hint="eastAsia" w:ascii="方正仿宋_GBK" w:hAnsi="方正仿宋_GBK" w:cs="方正仿宋_GBK"/>
          <w:color w:val="auto"/>
          <w:kern w:val="0"/>
          <w:szCs w:val="36"/>
          <w:highlight w:val="none"/>
          <w:lang w:val="en-US" w:eastAsia="zh-CN"/>
        </w:rPr>
        <w:instrText xml:space="preserve"> HYPERLINK "http://www.ahedu.gov.cn/uploads/file/20181127/20181127175343_77652.doc" \o "附件1：2018年省级质量工程项目申报指南.doc" </w:instrText>
      </w:r>
      <w:r>
        <w:rPr>
          <w:rFonts w:hint="eastAsia" w:ascii="方正仿宋_GBK" w:hAnsi="方正仿宋_GBK" w:cs="方正仿宋_GBK"/>
          <w:color w:val="auto"/>
          <w:kern w:val="0"/>
          <w:szCs w:val="36"/>
          <w:highlight w:val="none"/>
          <w:lang w:val="en-US" w:eastAsia="zh-CN"/>
        </w:rPr>
        <w:fldChar w:fldCharType="separate"/>
      </w:r>
      <w:r>
        <w:rPr>
          <w:rFonts w:hint="eastAsia" w:ascii="方正仿宋_GBK" w:hAnsi="方正仿宋_GBK" w:cs="方正仿宋_GBK"/>
          <w:color w:val="auto"/>
          <w:kern w:val="0"/>
          <w:szCs w:val="36"/>
          <w:highlight w:val="none"/>
          <w:lang w:val="en-US" w:eastAsia="zh-CN"/>
        </w:rPr>
        <w:t>附件1：2022年度学院省级质量工程项目申报指南.doc</w:t>
      </w:r>
      <w:r>
        <w:rPr>
          <w:rFonts w:hint="eastAsia" w:ascii="方正仿宋_GBK" w:hAnsi="方正仿宋_GBK" w:cs="方正仿宋_GBK"/>
          <w:color w:val="auto"/>
          <w:kern w:val="0"/>
          <w:szCs w:val="36"/>
          <w:highlight w:val="none"/>
          <w:lang w:val="en-US" w:eastAsia="zh-CN"/>
        </w:rPr>
        <w:fldChar w:fldCharType="end"/>
      </w:r>
    </w:p>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420" w:firstLineChars="200"/>
        <w:jc w:val="both"/>
        <w:textAlignment w:val="auto"/>
        <w:outlineLvl w:val="9"/>
        <w:rPr>
          <w:rFonts w:hint="eastAsia" w:ascii="方正仿宋_GBK" w:hAnsi="方正仿宋_GBK" w:cs="方正仿宋_GBK"/>
          <w:color w:val="auto"/>
          <w:kern w:val="0"/>
          <w:szCs w:val="36"/>
          <w:highlight w:val="none"/>
          <w:lang w:val="en-US" w:eastAsia="zh-CN"/>
        </w:rPr>
      </w:pPr>
      <w:r>
        <w:rPr>
          <w:rFonts w:hint="eastAsia" w:ascii="方正仿宋_GBK" w:hAnsi="方正仿宋_GBK" w:cs="方正仿宋_GBK"/>
          <w:color w:val="auto"/>
          <w:kern w:val="0"/>
          <w:szCs w:val="36"/>
          <w:highlight w:val="none"/>
          <w:lang w:val="en-US" w:eastAsia="zh-CN"/>
        </w:rPr>
        <w:fldChar w:fldCharType="begin"/>
      </w:r>
      <w:r>
        <w:rPr>
          <w:rFonts w:hint="eastAsia" w:ascii="方正仿宋_GBK" w:hAnsi="方正仿宋_GBK" w:cs="方正仿宋_GBK"/>
          <w:color w:val="auto"/>
          <w:kern w:val="0"/>
          <w:szCs w:val="36"/>
          <w:highlight w:val="none"/>
          <w:lang w:val="en-US" w:eastAsia="zh-CN"/>
        </w:rPr>
        <w:instrText xml:space="preserve"> HYPERLINK "http://www.ahedu.gov.cn/uploads/file/20181127/20181127175344_88362.rar" \o "附件2：2018年省级质量工程项目申请书.rar" </w:instrText>
      </w:r>
      <w:r>
        <w:rPr>
          <w:rFonts w:hint="eastAsia" w:ascii="方正仿宋_GBK" w:hAnsi="方正仿宋_GBK" w:cs="方正仿宋_GBK"/>
          <w:color w:val="auto"/>
          <w:kern w:val="0"/>
          <w:szCs w:val="36"/>
          <w:highlight w:val="none"/>
          <w:lang w:val="en-US" w:eastAsia="zh-CN"/>
        </w:rPr>
        <w:fldChar w:fldCharType="separate"/>
      </w:r>
      <w:r>
        <w:rPr>
          <w:rFonts w:hint="eastAsia" w:ascii="方正仿宋_GBK" w:hAnsi="方正仿宋_GBK" w:cs="方正仿宋_GBK"/>
          <w:color w:val="auto"/>
          <w:kern w:val="0"/>
          <w:szCs w:val="36"/>
          <w:highlight w:val="none"/>
          <w:lang w:val="en-US" w:eastAsia="zh-CN"/>
        </w:rPr>
        <w:t>附件2：2022年度学院省级质量工程项目申报书.rar</w:t>
      </w:r>
      <w:r>
        <w:rPr>
          <w:rFonts w:hint="eastAsia" w:ascii="方正仿宋_GBK" w:hAnsi="方正仿宋_GBK" w:cs="方正仿宋_GBK"/>
          <w:color w:val="auto"/>
          <w:kern w:val="0"/>
          <w:szCs w:val="36"/>
          <w:highlight w:val="none"/>
          <w:lang w:val="en-US" w:eastAsia="zh-CN"/>
        </w:rPr>
        <w:fldChar w:fldCharType="end"/>
      </w:r>
    </w:p>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420" w:firstLineChars="200"/>
        <w:jc w:val="both"/>
        <w:textAlignment w:val="auto"/>
        <w:outlineLvl w:val="9"/>
        <w:rPr>
          <w:rFonts w:hint="eastAsia" w:ascii="方正仿宋_GBK" w:hAnsi="方正仿宋_GBK" w:cs="方正仿宋_GBK"/>
          <w:color w:val="auto"/>
          <w:kern w:val="0"/>
          <w:szCs w:val="36"/>
          <w:highlight w:val="none"/>
          <w:lang w:val="en-US" w:eastAsia="zh-CN"/>
        </w:rPr>
      </w:pPr>
      <w:r>
        <w:rPr>
          <w:rFonts w:hint="eastAsia" w:ascii="方正仿宋_GBK" w:hAnsi="方正仿宋_GBK" w:cs="方正仿宋_GBK"/>
          <w:color w:val="auto"/>
          <w:kern w:val="0"/>
          <w:szCs w:val="36"/>
          <w:highlight w:val="none"/>
          <w:lang w:val="en-US" w:eastAsia="zh-CN"/>
        </w:rPr>
        <w:t>附件3：</w:t>
      </w:r>
      <w:r>
        <w:rPr>
          <w:rFonts w:hint="default" w:ascii="方正仿宋_GBK" w:hAnsi="方正仿宋_GBK" w:cs="方正仿宋_GBK"/>
          <w:color w:val="auto"/>
          <w:kern w:val="0"/>
          <w:szCs w:val="36"/>
          <w:highlight w:val="none"/>
          <w:lang w:val="en-US" w:eastAsia="zh-CN"/>
        </w:rPr>
        <w:t>202</w:t>
      </w:r>
      <w:r>
        <w:rPr>
          <w:rFonts w:hint="eastAsia" w:ascii="方正仿宋_GBK" w:hAnsi="方正仿宋_GBK" w:cs="方正仿宋_GBK"/>
          <w:color w:val="auto"/>
          <w:kern w:val="0"/>
          <w:szCs w:val="36"/>
          <w:highlight w:val="none"/>
          <w:lang w:val="en-US" w:eastAsia="zh-CN"/>
        </w:rPr>
        <w:t>2</w:t>
      </w:r>
      <w:r>
        <w:rPr>
          <w:rFonts w:hint="default" w:ascii="方正仿宋_GBK" w:hAnsi="方正仿宋_GBK" w:cs="方正仿宋_GBK"/>
          <w:color w:val="auto"/>
          <w:kern w:val="0"/>
          <w:szCs w:val="36"/>
          <w:highlight w:val="none"/>
          <w:lang w:val="en-US" w:eastAsia="zh-CN"/>
        </w:rPr>
        <w:t>年度</w:t>
      </w:r>
      <w:r>
        <w:rPr>
          <w:rFonts w:hint="eastAsia" w:ascii="方正仿宋_GBK" w:hAnsi="方正仿宋_GBK" w:cs="方正仿宋_GBK"/>
          <w:color w:val="auto"/>
          <w:kern w:val="0"/>
          <w:szCs w:val="36"/>
          <w:highlight w:val="none"/>
          <w:lang w:val="en-US" w:eastAsia="zh-CN"/>
        </w:rPr>
        <w:t>学院</w:t>
      </w:r>
      <w:r>
        <w:rPr>
          <w:rFonts w:hint="default" w:ascii="方正仿宋_GBK" w:hAnsi="方正仿宋_GBK" w:cs="方正仿宋_GBK"/>
          <w:color w:val="auto"/>
          <w:kern w:val="0"/>
          <w:szCs w:val="36"/>
          <w:highlight w:val="none"/>
          <w:lang w:val="en-US" w:eastAsia="zh-CN"/>
        </w:rPr>
        <w:t>省级质量工程项目形式审查规范</w:t>
      </w:r>
      <w:r>
        <w:rPr>
          <w:rFonts w:hint="eastAsia" w:ascii="方正仿宋_GBK" w:hAnsi="方正仿宋_GBK" w:cs="方正仿宋_GBK"/>
          <w:color w:val="auto"/>
          <w:kern w:val="0"/>
          <w:szCs w:val="36"/>
          <w:highlight w:val="none"/>
          <w:lang w:val="en-US" w:eastAsia="zh-CN"/>
        </w:rPr>
        <w:t>.doc</w:t>
      </w:r>
    </w:p>
    <w:p>
      <w:pPr>
        <w:pStyle w:val="2"/>
        <w:keepNext w:val="0"/>
        <w:keepLines w:val="0"/>
        <w:pageBreakBefore w:val="0"/>
        <w:widowControl/>
        <w:numPr>
          <w:ilvl w:val="0"/>
          <w:numId w:val="0"/>
        </w:numPr>
        <w:kinsoku/>
        <w:wordWrap/>
        <w:overflowPunct/>
        <w:topLinePunct w:val="0"/>
        <w:autoSpaceDE/>
        <w:autoSpaceDN/>
        <w:bidi w:val="0"/>
        <w:spacing w:line="480" w:lineRule="exact"/>
        <w:ind w:leftChars="200"/>
        <w:jc w:val="right"/>
        <w:textAlignment w:val="auto"/>
        <w:rPr>
          <w:rFonts w:hint="eastAsia" w:ascii="方正仿宋_GBK" w:hAnsi="方正仿宋_GBK" w:cs="方正仿宋_GBK" w:eastAsiaTheme="minorEastAsia"/>
          <w:color w:val="auto"/>
          <w:kern w:val="0"/>
          <w:sz w:val="24"/>
          <w:szCs w:val="24"/>
          <w:highlight w:val="none"/>
          <w:lang w:val="en-US" w:eastAsia="zh-CN" w:bidi="ar-SA"/>
        </w:rPr>
      </w:pPr>
      <w:r>
        <w:rPr>
          <w:rFonts w:hint="eastAsia" w:ascii="方正仿宋_GBK" w:hAnsi="方正仿宋_GBK" w:cs="方正仿宋_GBK" w:eastAsiaTheme="minorEastAsia"/>
          <w:color w:val="auto"/>
          <w:kern w:val="0"/>
          <w:sz w:val="24"/>
          <w:szCs w:val="24"/>
          <w:highlight w:val="none"/>
          <w:lang w:val="en-US" w:eastAsia="zh-CN" w:bidi="ar-SA"/>
        </w:rPr>
        <w:t>实验实训中心</w:t>
      </w:r>
    </w:p>
    <w:p>
      <w:pPr>
        <w:pStyle w:val="2"/>
        <w:keepNext w:val="0"/>
        <w:keepLines w:val="0"/>
        <w:pageBreakBefore w:val="0"/>
        <w:widowControl/>
        <w:numPr>
          <w:ilvl w:val="0"/>
          <w:numId w:val="0"/>
        </w:numPr>
        <w:kinsoku/>
        <w:wordWrap/>
        <w:overflowPunct/>
        <w:topLinePunct w:val="0"/>
        <w:autoSpaceDE/>
        <w:autoSpaceDN/>
        <w:bidi w:val="0"/>
        <w:spacing w:line="480" w:lineRule="exact"/>
        <w:ind w:leftChars="200"/>
        <w:jc w:val="right"/>
        <w:textAlignment w:val="auto"/>
        <w:rPr>
          <w:rFonts w:hint="default" w:ascii="方正仿宋_GBK" w:hAnsi="方正仿宋_GBK" w:cs="方正仿宋_GBK" w:eastAsiaTheme="minorEastAsia"/>
          <w:color w:val="auto"/>
          <w:kern w:val="0"/>
          <w:sz w:val="24"/>
          <w:szCs w:val="24"/>
          <w:highlight w:val="none"/>
          <w:lang w:val="en-US" w:eastAsia="zh-CN" w:bidi="ar-SA"/>
        </w:rPr>
      </w:pPr>
      <w:r>
        <w:rPr>
          <w:rFonts w:hint="eastAsia" w:ascii="方正仿宋_GBK" w:hAnsi="方正仿宋_GBK" w:cs="方正仿宋_GBK" w:eastAsiaTheme="minorEastAsia"/>
          <w:color w:val="auto"/>
          <w:kern w:val="0"/>
          <w:sz w:val="24"/>
          <w:szCs w:val="24"/>
          <w:highlight w:val="none"/>
          <w:lang w:val="en-US" w:eastAsia="zh-CN" w:bidi="ar-SA"/>
        </w:rPr>
        <w:t>2022年12月12日</w:t>
      </w:r>
    </w:p>
    <w:p>
      <w:pPr>
        <w:pStyle w:val="2"/>
        <w:keepNext w:val="0"/>
        <w:keepLines w:val="0"/>
        <w:pageBreakBefore w:val="0"/>
        <w:widowControl/>
        <w:numPr>
          <w:ilvl w:val="0"/>
          <w:numId w:val="0"/>
        </w:numPr>
        <w:kinsoku/>
        <w:wordWrap/>
        <w:overflowPunct/>
        <w:topLinePunct w:val="0"/>
        <w:autoSpaceDE/>
        <w:autoSpaceDN/>
        <w:bidi w:val="0"/>
        <w:spacing w:line="480" w:lineRule="exact"/>
        <w:jc w:val="left"/>
        <w:textAlignment w:val="auto"/>
        <w:rPr>
          <w:rFonts w:hint="default" w:ascii="方正仿宋_GBK" w:hAnsi="方正仿宋_GBK" w:cs="方正仿宋_GBK" w:eastAsiaTheme="minorEastAsia"/>
          <w:color w:val="auto"/>
          <w:kern w:val="0"/>
          <w:sz w:val="24"/>
          <w:szCs w:val="24"/>
          <w:highlight w:val="none"/>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roma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roma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E1558"/>
    <w:multiLevelType w:val="singleLevel"/>
    <w:tmpl w:val="B0FE155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jZTE4MjBkYTBlY2FlNDlhYmY3YzJiMjhhYWU3MDMifQ=="/>
  </w:docVars>
  <w:rsids>
    <w:rsidRoot w:val="3C8768A9"/>
    <w:rsid w:val="060914B4"/>
    <w:rsid w:val="07D5778C"/>
    <w:rsid w:val="080143DE"/>
    <w:rsid w:val="0A164909"/>
    <w:rsid w:val="0C7D7FF6"/>
    <w:rsid w:val="0EEA1633"/>
    <w:rsid w:val="11423DA9"/>
    <w:rsid w:val="11682152"/>
    <w:rsid w:val="116E041E"/>
    <w:rsid w:val="132D4308"/>
    <w:rsid w:val="14492909"/>
    <w:rsid w:val="15496773"/>
    <w:rsid w:val="156777FE"/>
    <w:rsid w:val="156F29B6"/>
    <w:rsid w:val="1964792D"/>
    <w:rsid w:val="1A1A100E"/>
    <w:rsid w:val="1F5A1921"/>
    <w:rsid w:val="22E5469C"/>
    <w:rsid w:val="267A2E15"/>
    <w:rsid w:val="274A131D"/>
    <w:rsid w:val="27C27F13"/>
    <w:rsid w:val="283A6E54"/>
    <w:rsid w:val="285B4AAF"/>
    <w:rsid w:val="2CB45E43"/>
    <w:rsid w:val="34C12DD7"/>
    <w:rsid w:val="387E0563"/>
    <w:rsid w:val="3C8768A9"/>
    <w:rsid w:val="3FE525E7"/>
    <w:rsid w:val="456454CE"/>
    <w:rsid w:val="45F75F2C"/>
    <w:rsid w:val="483641D3"/>
    <w:rsid w:val="492726C4"/>
    <w:rsid w:val="4B4C2876"/>
    <w:rsid w:val="4B6C0998"/>
    <w:rsid w:val="4EEC380B"/>
    <w:rsid w:val="51900C20"/>
    <w:rsid w:val="5A231140"/>
    <w:rsid w:val="5F14226A"/>
    <w:rsid w:val="65BE0B3F"/>
    <w:rsid w:val="65C634F9"/>
    <w:rsid w:val="67A07D7A"/>
    <w:rsid w:val="6D6C3995"/>
    <w:rsid w:val="6DF207D3"/>
    <w:rsid w:val="6E421B8B"/>
    <w:rsid w:val="75111028"/>
    <w:rsid w:val="75E942ED"/>
    <w:rsid w:val="768921E4"/>
    <w:rsid w:val="77C70DC9"/>
    <w:rsid w:val="78342545"/>
    <w:rsid w:val="7D393CE6"/>
    <w:rsid w:val="7F781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1351</Words>
  <Characters>1473</Characters>
  <Lines>0</Lines>
  <Paragraphs>0</Paragraphs>
  <TotalTime>46</TotalTime>
  <ScaleCrop>false</ScaleCrop>
  <LinksUpToDate>false</LinksUpToDate>
  <CharactersWithSpaces>1493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2021-10-21T07:24:00Z</dcterms:created>
  <dc:creator>小梨涡</dc:creator>
  <cp:lastModifiedBy>小梨涡</cp:lastModifiedBy>
  <cp:lastPrinted>2021-10-28T02:03:00Z</cp:lastPrinted>
  <dcterms:modified xsi:type="dcterms:W3CDTF">2022-12-12T01:58:17Z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E6A5B424FF644192BFB5DCFA1BE036F3</vt:lpwstr>
  </property>
</Properties>
</file>